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sz w:val="52"/>
          <w:szCs w:val="52"/>
        </w:rPr>
      </w:pPr>
    </w:p>
    <w:p>
      <w:pPr>
        <w:pageBreakBefore w:val="0"/>
        <w:kinsoku/>
        <w:wordWrap/>
        <w:overflowPunct/>
        <w:topLinePunct w:val="0"/>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sz w:val="52"/>
          <w:szCs w:val="52"/>
        </w:rPr>
      </w:pPr>
    </w:p>
    <w:p>
      <w:pPr>
        <w:pStyle w:val="2"/>
        <w:rPr>
          <w:rFonts w:hint="default" w:ascii="Times New Roman" w:hAnsi="Times New Roman" w:eastAsia="方正小标宋简体" w:cs="Times New Roman"/>
          <w:color w:val="auto"/>
          <w:sz w:val="52"/>
          <w:szCs w:val="52"/>
        </w:rPr>
      </w:pPr>
    </w:p>
    <w:p>
      <w:pPr>
        <w:pageBreakBefore w:val="0"/>
        <w:kinsoku/>
        <w:wordWrap/>
        <w:overflowPunct/>
        <w:topLinePunct w:val="0"/>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sz w:val="52"/>
          <w:szCs w:val="52"/>
        </w:rPr>
      </w:pPr>
    </w:p>
    <w:p>
      <w:pPr>
        <w:pageBreakBefore w:val="0"/>
        <w:kinsoku/>
        <w:wordWrap/>
        <w:overflowPunct/>
        <w:topLinePunct w:val="0"/>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52"/>
          <w:szCs w:val="52"/>
        </w:rPr>
        <w:t>宿州市“十四五”服务业发展规划</w:t>
      </w:r>
    </w:p>
    <w:p>
      <w:pPr>
        <w:pageBreakBefore w:val="0"/>
        <w:kinsoku/>
        <w:wordWrap/>
        <w:overflowPunct/>
        <w:topLinePunct w:val="0"/>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w:t>
      </w:r>
      <w:r>
        <w:rPr>
          <w:rFonts w:hint="default" w:ascii="Times New Roman" w:hAnsi="Times New Roman" w:eastAsia="方正小标宋简体" w:cs="Times New Roman"/>
          <w:color w:val="auto"/>
          <w:sz w:val="36"/>
          <w:szCs w:val="36"/>
          <w:lang w:eastAsia="zh-CN"/>
        </w:rPr>
        <w:t>征求意见稿</w:t>
      </w:r>
      <w:r>
        <w:rPr>
          <w:rFonts w:hint="default" w:ascii="Times New Roman" w:hAnsi="Times New Roman" w:eastAsia="方正小标宋简体" w:cs="Times New Roman"/>
          <w:color w:val="auto"/>
          <w:sz w:val="36"/>
          <w:szCs w:val="36"/>
        </w:rPr>
        <w:t>）</w:t>
      </w: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cs="Times New Roman"/>
          <w:color w:val="auto"/>
          <w:sz w:val="36"/>
          <w:szCs w:val="36"/>
        </w:rPr>
      </w:pPr>
      <w:r>
        <w:rPr>
          <w:rFonts w:hint="default" w:ascii="Times New Roman" w:hAnsi="Times New Roman" w:eastAsia="方正小标宋简体" w:cs="Times New Roman"/>
          <w:color w:val="auto"/>
          <w:sz w:val="36"/>
          <w:szCs w:val="36"/>
        </w:rPr>
        <w:t>202</w:t>
      </w:r>
      <w:r>
        <w:rPr>
          <w:rFonts w:hint="default" w:ascii="Times New Roman" w:hAnsi="Times New Roman" w:eastAsia="方正小标宋简体" w:cs="Times New Roman"/>
          <w:color w:val="auto"/>
          <w:sz w:val="36"/>
          <w:szCs w:val="36"/>
          <w:lang w:val="en-US" w:eastAsia="zh-CN"/>
        </w:rPr>
        <w:t>2</w:t>
      </w:r>
      <w:r>
        <w:rPr>
          <w:rFonts w:hint="default" w:ascii="Times New Roman" w:hAnsi="Times New Roman" w:eastAsia="方正小标宋简体" w:cs="Times New Roman"/>
          <w:color w:val="auto"/>
          <w:sz w:val="36"/>
          <w:szCs w:val="36"/>
        </w:rPr>
        <w:t>年</w:t>
      </w:r>
      <w:r>
        <w:rPr>
          <w:rFonts w:hint="eastAsia" w:ascii="Times New Roman" w:hAnsi="Times New Roman" w:eastAsia="方正小标宋简体" w:cs="Times New Roman"/>
          <w:color w:val="auto"/>
          <w:sz w:val="36"/>
          <w:szCs w:val="36"/>
          <w:lang w:val="en-US" w:eastAsia="zh-CN"/>
        </w:rPr>
        <w:t>3</w:t>
      </w:r>
      <w:r>
        <w:rPr>
          <w:rFonts w:hint="default" w:ascii="Times New Roman" w:hAnsi="Times New Roman" w:eastAsia="方正小标宋简体" w:cs="Times New Roman"/>
          <w:color w:val="auto"/>
          <w:sz w:val="36"/>
          <w:szCs w:val="36"/>
        </w:rPr>
        <w:t>月</w:t>
      </w: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sz w:val="28"/>
          <w:szCs w:val="28"/>
        </w:rPr>
      </w:pPr>
    </w:p>
    <w:p>
      <w:pPr>
        <w:pStyle w:val="34"/>
        <w:pageBreakBefore w:val="0"/>
        <w:kinsoku/>
        <w:wordWrap/>
        <w:overflowPunct/>
        <w:topLinePunct w:val="0"/>
        <w:bidi w:val="0"/>
        <w:adjustRightInd/>
        <w:snapToGrid/>
        <w:spacing w:before="312" w:after="312" w:line="600" w:lineRule="exact"/>
        <w:textAlignment w:val="auto"/>
        <w:rPr>
          <w:rFonts w:hint="default" w:ascii="Times New Roman" w:hAnsi="Times New Roman" w:eastAsia="微软雅黑" w:cs="Times New Roman"/>
          <w:color w:val="auto"/>
          <w:kern w:val="2"/>
          <w:sz w:val="44"/>
          <w:szCs w:val="44"/>
          <w:lang w:val="zh-CN" w:bidi="zh-CN"/>
        </w:rPr>
        <w:sectPr>
          <w:headerReference r:id="rId6" w:type="first"/>
          <w:footerReference r:id="rId8" w:type="first"/>
          <w:headerReference r:id="rId5" w:type="default"/>
          <w:footerReference r:id="rId7" w:type="default"/>
          <w:pgSz w:w="11910" w:h="16840"/>
          <w:pgMar w:top="1582" w:right="1202" w:bottom="1520" w:left="1338" w:header="851" w:footer="992" w:gutter="0"/>
          <w:cols w:space="0" w:num="1"/>
          <w:titlePg/>
          <w:docGrid w:type="lines" w:linePitch="624" w:charSpace="0"/>
        </w:sectPr>
      </w:pPr>
    </w:p>
    <w:sdt>
      <w:sdtPr>
        <w:rPr>
          <w:rFonts w:hint="default" w:ascii="Times New Roman" w:hAnsi="Times New Roman" w:eastAsia="方正黑体_GBK" w:cs="Times New Roman"/>
          <w:color w:val="auto"/>
          <w:kern w:val="2"/>
          <w:sz w:val="44"/>
          <w:szCs w:val="44"/>
          <w:lang w:val="zh-CN" w:bidi="zh-CN"/>
        </w:rPr>
        <w:id w:val="917066208"/>
        <w:docPartObj>
          <w:docPartGallery w:val="Table of Contents"/>
          <w:docPartUnique/>
        </w:docPartObj>
      </w:sdtPr>
      <w:sdtEndPr>
        <w:rPr>
          <w:rFonts w:hint="default" w:ascii="Times New Roman" w:hAnsi="Times New Roman" w:eastAsia="宋体" w:cs="Times New Roman"/>
          <w:b/>
          <w:bCs/>
          <w:color w:val="auto"/>
          <w:kern w:val="0"/>
          <w:sz w:val="26"/>
          <w:szCs w:val="26"/>
          <w:lang w:val="zh-CN" w:bidi="zh-CN"/>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rPr>
          </w:pPr>
          <w:r>
            <w:rPr>
              <w:rFonts w:hint="default" w:ascii="Times New Roman" w:hAnsi="Times New Roman" w:eastAsia="宋体" w:cs="Times New Roman"/>
              <w:color w:val="auto"/>
              <w:sz w:val="21"/>
            </w:rPr>
            <w:t>目录</w:t>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仿宋" w:cs="Times New Roman"/>
              <w:color w:val="auto"/>
              <w:sz w:val="32"/>
              <w:szCs w:val="32"/>
            </w:rPr>
            <w:fldChar w:fldCharType="begin"/>
          </w:r>
          <w:r>
            <w:rPr>
              <w:rFonts w:hint="default" w:ascii="Times New Roman" w:hAnsi="Times New Roman" w:eastAsia="仿宋" w:cs="Times New Roman"/>
              <w:color w:val="auto"/>
              <w:sz w:val="32"/>
              <w:szCs w:val="32"/>
            </w:rPr>
            <w:instrText xml:space="preserve"> TOC \o "1-3" \h \z \u </w:instrText>
          </w:r>
          <w:r>
            <w:rPr>
              <w:rFonts w:hint="default" w:ascii="Times New Roman" w:hAnsi="Times New Roman" w:eastAsia="仿宋" w:cs="Times New Roman"/>
              <w:color w:val="auto"/>
              <w:sz w:val="32"/>
              <w:szCs w:val="32"/>
            </w:rPr>
            <w:fldChar w:fldCharType="separate"/>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_Toc388683152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前  言</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_Toc388683152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fldChar w:fldCharType="end"/>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_Toc1629390492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一、规划</w:t>
          </w:r>
          <w:r>
            <w:rPr>
              <w:rFonts w:hint="default" w:ascii="Times New Roman" w:hAnsi="Times New Roman" w:eastAsia="方正仿宋_GBK" w:cs="Times New Roman"/>
              <w:color w:val="auto"/>
              <w:sz w:val="32"/>
              <w:szCs w:val="32"/>
              <w:lang w:val="en-US"/>
            </w:rPr>
            <w:t>基础</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_Toc1629390492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_Toc2076303957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（一）发展现状</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_Toc2076303957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_Toc605218803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（二）发展环境</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_Toc605218803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_Toc79124374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highlight w:val="none"/>
              <w:lang w:val="en-US" w:eastAsia="zh-CN"/>
            </w:rPr>
            <w:t>二、总体思路</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_Toc79124374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_Toc214467937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（一）指导思想</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_Toc214467937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_Toc744853598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（二）发展原则</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_Toc744853598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9</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_Toc934907253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（三）发展目标</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_Toc934907253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10</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_Toc457472249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val="en-US"/>
            </w:rPr>
            <w:t>空间布局</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_Toc457472249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_Toc779273302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（一）“一核”引领</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_Toc779273302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_Toc574852595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（二）“二极”提升</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_Toc574852595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_Toc1493769858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（三）“三廊（带）”联动</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_Toc1493769858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_Toc1267846924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（四）“四心”协同</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_Toc1267846924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_Toc1949636769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（五）“多区”支撑</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_Toc1949636769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_Toc1381000224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highlight w:val="none"/>
              <w:lang w:val="en-US" w:eastAsia="zh-CN"/>
            </w:rPr>
            <w:t>四、</w:t>
          </w:r>
          <w:r>
            <w:rPr>
              <w:rFonts w:hint="eastAsia" w:ascii="Times New Roman" w:hAnsi="Times New Roman" w:eastAsia="方正仿宋_GBK" w:cs="Times New Roman"/>
              <w:color w:val="auto"/>
              <w:sz w:val="32"/>
              <w:szCs w:val="32"/>
              <w:highlight w:val="none"/>
              <w:lang w:val="en-US" w:eastAsia="zh-CN"/>
            </w:rPr>
            <w:t>重点领域</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_Toc1381000224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16</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_Toc226976524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（一）生产性服务业</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_Toc226976524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16</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_Toc728716092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（二）生活性服务业</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_Toc728716092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23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_Toc236616754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bCs/>
              <w:color w:val="auto"/>
              <w:sz w:val="32"/>
              <w:szCs w:val="32"/>
              <w:lang w:val="en-US" w:eastAsia="zh-CN"/>
            </w:rPr>
            <w:t>（三）新兴服务业</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_Toc236616754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28</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_Toc2144118591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五、重点工程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_Toc2144118591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30</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_Toc1776109214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rPr>
            <w:t>创新</w:t>
          </w:r>
          <w:r>
            <w:rPr>
              <w:rFonts w:hint="default" w:ascii="Times New Roman" w:hAnsi="Times New Roman" w:eastAsia="方正仿宋_GBK" w:cs="Times New Roman"/>
              <w:color w:val="auto"/>
              <w:sz w:val="32"/>
              <w:szCs w:val="32"/>
              <w:lang w:val="en-US" w:eastAsia="zh-CN"/>
            </w:rPr>
            <w:t>绿色</w:t>
          </w:r>
          <w:r>
            <w:rPr>
              <w:rFonts w:hint="default" w:ascii="Times New Roman" w:hAnsi="Times New Roman" w:eastAsia="方正仿宋_GBK" w:cs="Times New Roman"/>
              <w:color w:val="auto"/>
              <w:sz w:val="32"/>
              <w:szCs w:val="32"/>
              <w:lang w:val="en-US"/>
            </w:rPr>
            <w:t>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_Toc1776109214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30</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_Toc1957594428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（二）融合发展工程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_Toc1957594428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31</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_Toc2103383874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（三）集聚引领工程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_Toc2103383874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_Toc1299048133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（四）一体协同工程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_Toc1299048133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_Toc283386680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（五）项目支撑工程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_Toc283386680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36</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_Toc1452785902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（六）质量提升工程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_Toc1452785902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37</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_Toc1190703581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（七）企业培育工程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_Toc1190703581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38</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_Toc795236344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（八）消费扩容工程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_Toc795236344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40</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5"/>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_Toc1384525285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eastAsia="zh-CN"/>
            </w:rPr>
            <w:t>六、组织</w:t>
          </w:r>
          <w:r>
            <w:rPr>
              <w:rFonts w:hint="default" w:ascii="Times New Roman" w:hAnsi="Times New Roman" w:eastAsia="方正仿宋_GBK" w:cs="Times New Roman"/>
              <w:color w:val="auto"/>
              <w:sz w:val="32"/>
              <w:szCs w:val="32"/>
              <w:lang w:val="en-US"/>
            </w:rPr>
            <w:t>保障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_Toc1384525285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_Toc653501357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rPr>
            <w:t>加强组织领导</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_Toc653501357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43</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_Toc812667305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（二）优化营商环境</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_Toc812667305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44</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_Toc1614192800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（三）降低运营成本</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_Toc1614192800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45</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_Toc1042184510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（四）提升要素保障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_Toc1042184510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46</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70"/>
            </w:tabs>
            <w:kinsoku/>
            <w:wordWrap/>
            <w:overflowPunct/>
            <w:topLinePunct w:val="0"/>
            <w:bidi w:val="0"/>
            <w:adjustRightInd/>
            <w:snapToGrid/>
            <w:spacing w:line="560" w:lineRule="exac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bCs/>
              <w:color w:val="auto"/>
              <w:sz w:val="32"/>
              <w:szCs w:val="32"/>
            </w:rPr>
            <w:fldChar w:fldCharType="begin"/>
          </w:r>
          <w:r>
            <w:rPr>
              <w:rFonts w:hint="default" w:ascii="Times New Roman" w:hAnsi="Times New Roman" w:eastAsia="方正仿宋_GBK" w:cs="Times New Roman"/>
              <w:bCs/>
              <w:color w:val="auto"/>
              <w:sz w:val="32"/>
              <w:szCs w:val="32"/>
            </w:rPr>
            <w:instrText xml:space="preserve"> HYPERLINK \l _Toc294574149 </w:instrText>
          </w:r>
          <w:r>
            <w:rPr>
              <w:rFonts w:hint="default" w:ascii="Times New Roman" w:hAnsi="Times New Roman" w:eastAsia="方正仿宋_GBK" w:cs="Times New Roman"/>
              <w:bCs/>
              <w:color w:val="auto"/>
              <w:sz w:val="32"/>
              <w:szCs w:val="32"/>
            </w:rPr>
            <w:fldChar w:fldCharType="separate"/>
          </w:r>
          <w:r>
            <w:rPr>
              <w:rFonts w:hint="default" w:ascii="Times New Roman" w:hAnsi="Times New Roman" w:eastAsia="方正仿宋_GBK" w:cs="Times New Roman"/>
              <w:color w:val="auto"/>
              <w:sz w:val="32"/>
              <w:szCs w:val="32"/>
              <w:lang w:val="en-US" w:eastAsia="zh-CN"/>
            </w:rPr>
            <w:t>（五）加强管理监测</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PAGEREF _Toc294574149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47</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bCs/>
              <w:color w:val="auto"/>
              <w:sz w:val="32"/>
              <w:szCs w:val="32"/>
            </w:rPr>
            <w:fldChar w:fldCharType="end"/>
          </w:r>
        </w:p>
        <w:p>
          <w:pPr>
            <w:pStyle w:val="17"/>
            <w:keepNext w:val="0"/>
            <w:keepLines w:val="0"/>
            <w:pageBreakBefore w:val="0"/>
            <w:tabs>
              <w:tab w:val="right" w:leader="dot" w:pos="9360"/>
            </w:tabs>
            <w:kinsoku/>
            <w:wordWrap/>
            <w:overflowPunct/>
            <w:topLinePunct w:val="0"/>
            <w:bidi w:val="0"/>
            <w:adjustRightInd/>
            <w:snapToGrid/>
            <w:spacing w:line="560" w:lineRule="exact"/>
            <w:ind w:left="640" w:firstLine="640"/>
            <w:textAlignment w:val="auto"/>
            <w:rPr>
              <w:rFonts w:hint="default" w:ascii="Times New Roman" w:hAnsi="Times New Roman" w:cs="Times New Roman"/>
              <w:color w:val="auto"/>
              <w:sz w:val="26"/>
              <w:szCs w:val="26"/>
            </w:rPr>
          </w:pPr>
          <w:r>
            <w:rPr>
              <w:rFonts w:hint="default" w:ascii="Times New Roman" w:hAnsi="Times New Roman" w:cs="Times New Roman"/>
              <w:bCs/>
              <w:color w:val="auto"/>
              <w:sz w:val="32"/>
              <w:szCs w:val="32"/>
            </w:rPr>
            <w:fldChar w:fldCharType="end"/>
          </w:r>
        </w:p>
      </w:sdtContent>
    </w:sdt>
    <w:p>
      <w:pPr>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Style w:val="28"/>
          <w:rFonts w:hint="default" w:ascii="Times New Roman" w:hAnsi="Times New Roman" w:cs="Times New Roman"/>
          <w:color w:val="auto"/>
          <w:lang w:val="en-US" w:eastAsia="zh-CN"/>
        </w:rPr>
        <w:sectPr>
          <w:footerReference r:id="rId10" w:type="first"/>
          <w:footerReference r:id="rId9" w:type="default"/>
          <w:pgSz w:w="11910" w:h="16840"/>
          <w:pgMar w:top="1582" w:right="1202" w:bottom="1520" w:left="1338" w:header="851" w:footer="992" w:gutter="0"/>
          <w:pgNumType w:start="1"/>
          <w:cols w:space="0" w:num="1"/>
          <w:docGrid w:type="lines" w:linePitch="624" w:charSpace="0"/>
        </w:sectPr>
      </w:pPr>
    </w:p>
    <w:p>
      <w:pPr>
        <w:pageBreakBefore w:val="0"/>
        <w:widowControl/>
        <w:kinsoku/>
        <w:wordWrap/>
        <w:overflowPunct/>
        <w:topLinePunct w:val="0"/>
        <w:autoSpaceDE/>
        <w:autoSpaceDN/>
        <w:bidi w:val="0"/>
        <w:adjustRightInd/>
        <w:snapToGrid/>
        <w:spacing w:line="600" w:lineRule="exact"/>
        <w:ind w:left="0" w:leftChars="0" w:firstLine="0" w:firstLineChars="0"/>
        <w:jc w:val="center"/>
        <w:textAlignment w:val="auto"/>
        <w:rPr>
          <w:rStyle w:val="28"/>
          <w:rFonts w:hint="default" w:ascii="Times New Roman" w:hAnsi="Times New Roman" w:cs="Times New Roman"/>
          <w:color w:val="auto"/>
          <w:lang w:val="en-US" w:eastAsia="zh-CN"/>
        </w:rPr>
      </w:pPr>
      <w:bookmarkStart w:id="0" w:name="_Toc388683152"/>
      <w:r>
        <w:rPr>
          <w:rStyle w:val="28"/>
          <w:rFonts w:hint="default" w:ascii="Times New Roman" w:hAnsi="Times New Roman" w:cs="Times New Roman"/>
          <w:color w:val="auto"/>
          <w:lang w:val="en-US" w:eastAsia="zh-CN"/>
        </w:rPr>
        <w:t>前  言</w:t>
      </w:r>
    </w:p>
    <w:bookmarkEnd w:id="0"/>
    <w:p>
      <w:pPr>
        <w:pageBreakBefore w:val="0"/>
        <w:kinsoku/>
        <w:wordWrap/>
        <w:overflowPunct/>
        <w:topLinePunct w:val="0"/>
        <w:bidi w:val="0"/>
        <w:adjustRightInd/>
        <w:snapToGrid/>
        <w:spacing w:line="600" w:lineRule="exact"/>
        <w:ind w:firstLine="640"/>
        <w:textAlignment w:val="auto"/>
        <w:rPr>
          <w:rFonts w:hint="default" w:ascii="Times New Roman" w:hAnsi="Times New Roman" w:cs="Times New Roman"/>
          <w:color w:val="auto"/>
          <w:lang w:val="en-US"/>
        </w:rPr>
      </w:pPr>
    </w:p>
    <w:p>
      <w:pPr>
        <w:pageBreakBefore w:val="0"/>
        <w:kinsoku/>
        <w:wordWrap/>
        <w:overflowPunct/>
        <w:topLinePunct w:val="0"/>
        <w:bidi w:val="0"/>
        <w:adjustRightInd/>
        <w:snapToGrid/>
        <w:spacing w:line="600" w:lineRule="exact"/>
        <w:ind w:firstLine="64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rPr>
        <w:t>“十四五”时期，是我国在全面建成小康社会基础上开启全面建设社会主义现代化国家新征程</w:t>
      </w:r>
      <w:r>
        <w:rPr>
          <w:rFonts w:hint="default" w:ascii="Times New Roman" w:hAnsi="Times New Roman" w:cs="Times New Roman"/>
          <w:color w:val="auto"/>
          <w:lang w:val="en-US" w:eastAsia="zh-CN"/>
        </w:rPr>
        <w:t>、</w:t>
      </w:r>
      <w:r>
        <w:rPr>
          <w:rFonts w:hint="default" w:ascii="Times New Roman" w:hAnsi="Times New Roman" w:cs="Times New Roman"/>
          <w:color w:val="auto"/>
          <w:lang w:val="en-US"/>
        </w:rPr>
        <w:t>向第二个百年奋斗目标进军的重要时期。在宿州市全面融入长江三角洲区域一体化、构建淮河（安徽）生态经济带的重大历史机遇面前，服务业尤其是现代服务业在宿州市国民生产总值和全社会就业中所占的比重不断增长，大力发展服务业是宿州市推动产业结构优化升级、加快转变经济增长方式、建设现代化五大发展美好宿州的重要抓手，对于拉动区域经济、促进社会发展具有重要意义。</w:t>
      </w:r>
    </w:p>
    <w:p>
      <w:pPr>
        <w:pageBreakBefore w:val="0"/>
        <w:widowControl/>
        <w:kinsoku/>
        <w:wordWrap/>
        <w:overflowPunct/>
        <w:topLinePunct w:val="0"/>
        <w:bidi w:val="0"/>
        <w:adjustRightInd/>
        <w:snapToGrid/>
        <w:spacing w:line="600" w:lineRule="exact"/>
        <w:ind w:firstLine="0"/>
        <w:jc w:val="both"/>
        <w:textAlignment w:val="auto"/>
        <w:rPr>
          <w:rFonts w:hint="default" w:ascii="Times New Roman" w:hAnsi="Times New Roman" w:cs="Times New Roman"/>
          <w:color w:val="auto"/>
          <w:lang w:val="en-US"/>
        </w:rPr>
      </w:pPr>
      <w:r>
        <w:rPr>
          <w:rFonts w:hint="default" w:ascii="Times New Roman" w:hAnsi="Times New Roman" w:cs="Times New Roman"/>
          <w:color w:val="auto"/>
          <w:lang w:val="en-US"/>
        </w:rPr>
        <w:t>为推进宿州市服务业更高质量发展，充分发挥服务业作为经济发展的压舱石、活跃市场的主动力、提供就业的主阵地作用，打造经济社会可持续发展新引擎，提升宿州城市综合服务功能，依据《安徽省国民经济和社会发展第十四个五年规划和2035年远景目标纲要》、</w:t>
      </w:r>
      <w:r>
        <w:rPr>
          <w:rFonts w:hint="default" w:ascii="Times New Roman" w:hAnsi="Times New Roman" w:cs="Times New Roman"/>
          <w:color w:val="auto"/>
          <w:lang w:val="en-US" w:eastAsia="zh-CN"/>
        </w:rPr>
        <w:t>《安徽省“十四五”服务业发展规划》</w:t>
      </w:r>
      <w:r>
        <w:rPr>
          <w:rFonts w:hint="default" w:ascii="Times New Roman" w:hAnsi="Times New Roman" w:cs="Times New Roman"/>
          <w:color w:val="auto"/>
          <w:lang w:val="en-US"/>
        </w:rPr>
        <w:t>以及《宿州市国民经济和社会发展第十四个五年规划</w:t>
      </w:r>
      <w:r>
        <w:rPr>
          <w:rFonts w:hint="default" w:ascii="Times New Roman" w:hAnsi="Times New Roman" w:cs="Times New Roman"/>
          <w:color w:val="auto"/>
          <w:lang w:val="en-US" w:eastAsia="zh-CN"/>
        </w:rPr>
        <w:t>和2035年远景目标</w:t>
      </w:r>
      <w:r>
        <w:rPr>
          <w:rFonts w:hint="default" w:ascii="Times New Roman" w:hAnsi="Times New Roman" w:cs="Times New Roman"/>
          <w:color w:val="auto"/>
          <w:lang w:val="zh-CN" w:eastAsia="zh-CN"/>
        </w:rPr>
        <w:t>纲要</w:t>
      </w:r>
      <w:r>
        <w:rPr>
          <w:rFonts w:hint="default" w:ascii="Times New Roman" w:hAnsi="Times New Roman" w:cs="Times New Roman"/>
          <w:color w:val="auto"/>
          <w:lang w:val="zh-CN"/>
        </w:rPr>
        <w:t>》</w:t>
      </w:r>
      <w:r>
        <w:rPr>
          <w:rFonts w:hint="default" w:ascii="Times New Roman" w:hAnsi="Times New Roman" w:cs="Times New Roman"/>
          <w:color w:val="auto"/>
          <w:lang w:val="en-US"/>
        </w:rPr>
        <w:t>等要求，编制《宿州市“十四五”服务业发展规划》。</w:t>
      </w:r>
    </w:p>
    <w:p>
      <w:pPr>
        <w:pageBreakBefore w:val="0"/>
        <w:kinsoku/>
        <w:wordWrap/>
        <w:overflowPunct/>
        <w:topLinePunct w:val="0"/>
        <w:bidi w:val="0"/>
        <w:adjustRightInd/>
        <w:snapToGrid/>
        <w:spacing w:line="600" w:lineRule="exact"/>
        <w:ind w:firstLine="640"/>
        <w:textAlignment w:val="auto"/>
        <w:rPr>
          <w:rFonts w:hint="default" w:ascii="Times New Roman" w:hAnsi="Times New Roman" w:cs="Times New Roman"/>
          <w:color w:val="auto"/>
          <w:lang w:val="en-US"/>
        </w:rPr>
      </w:pPr>
    </w:p>
    <w:p>
      <w:pPr>
        <w:pageBreakBefore w:val="0"/>
        <w:kinsoku/>
        <w:wordWrap/>
        <w:overflowPunct/>
        <w:topLinePunct w:val="0"/>
        <w:bidi w:val="0"/>
        <w:adjustRightInd/>
        <w:snapToGrid/>
        <w:spacing w:line="600" w:lineRule="exact"/>
        <w:ind w:firstLine="640"/>
        <w:textAlignment w:val="auto"/>
        <w:rPr>
          <w:rFonts w:hint="default" w:ascii="Times New Roman" w:hAnsi="Times New Roman" w:eastAsia="黑体" w:cs="Times New Roman"/>
          <w:color w:val="auto"/>
          <w:lang w:val="en-US" w:bidi="ar-SA"/>
        </w:rPr>
      </w:pPr>
      <w:r>
        <w:rPr>
          <w:rFonts w:hint="default" w:ascii="Times New Roman" w:hAnsi="Times New Roman" w:eastAsia="黑体" w:cs="Times New Roman"/>
          <w:color w:val="auto"/>
          <w:lang w:val="en-US" w:bidi="ar-SA"/>
        </w:rPr>
        <w:br w:type="page"/>
      </w:r>
    </w:p>
    <w:p>
      <w:pPr>
        <w:pStyle w:val="3"/>
        <w:pageBreakBefore w:val="0"/>
        <w:kinsoku/>
        <w:wordWrap/>
        <w:overflowPunct/>
        <w:topLinePunct w:val="0"/>
        <w:bidi w:val="0"/>
        <w:adjustRightInd/>
        <w:snapToGrid/>
        <w:spacing w:before="312" w:after="312" w:line="600" w:lineRule="exact"/>
        <w:textAlignment w:val="auto"/>
        <w:rPr>
          <w:rFonts w:hint="default" w:ascii="Times New Roman" w:hAnsi="Times New Roman" w:cs="Times New Roman"/>
          <w:color w:val="auto"/>
          <w:lang w:val="en-US"/>
        </w:rPr>
      </w:pPr>
      <w:bookmarkStart w:id="1" w:name="_Toc1629390492"/>
      <w:r>
        <w:rPr>
          <w:rFonts w:hint="default" w:ascii="Times New Roman" w:hAnsi="Times New Roman" w:cs="Times New Roman"/>
          <w:color w:val="auto"/>
          <w:lang w:val="en-US" w:eastAsia="zh-CN"/>
        </w:rPr>
        <w:t>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"_bookmark0"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eastAsia="zh-CN"/>
        </w:rPr>
        <w:t>规划</w:t>
      </w:r>
      <w:r>
        <w:rPr>
          <w:rFonts w:hint="default" w:ascii="Times New Roman" w:hAnsi="Times New Roman" w:cs="Times New Roman"/>
          <w:color w:val="auto"/>
          <w:lang w:val="en-US"/>
        </w:rPr>
        <w:t>基础</w:t>
      </w:r>
      <w:r>
        <w:rPr>
          <w:rFonts w:hint="default" w:ascii="Times New Roman" w:hAnsi="Times New Roman" w:cs="Times New Roman"/>
          <w:color w:val="auto"/>
          <w:lang w:val="en-US"/>
        </w:rPr>
        <w:fldChar w:fldCharType="end"/>
      </w:r>
      <w:bookmarkEnd w:id="1"/>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2" w:name="_Toc2076303957"/>
      <w:r>
        <w:rPr>
          <w:rFonts w:hint="default" w:ascii="Times New Roman" w:hAnsi="Times New Roman" w:eastAsia="方正楷体_GBK" w:cs="Times New Roman"/>
          <w:b/>
          <w:bCs/>
          <w:color w:val="auto"/>
          <w:lang w:val="en-US" w:eastAsia="zh-CN"/>
        </w:rPr>
        <w:t>（一）发展现状</w:t>
      </w:r>
      <w:bookmarkEnd w:id="2"/>
    </w:p>
    <w:p>
      <w:pPr>
        <w:pageBreakBefore w:val="0"/>
        <w:kinsoku/>
        <w:wordWrap/>
        <w:overflowPunct/>
        <w:topLinePunct w:val="0"/>
        <w:bidi w:val="0"/>
        <w:adjustRightInd/>
        <w:snapToGrid/>
        <w:spacing w:line="600" w:lineRule="exact"/>
        <w:ind w:firstLine="64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rPr>
        <w:t>“十三五”时期，宿州市委、市政府始终将加快发展服务业作为优化产业转型升级的战略重点，服务业结构不断优化，规模持续扩大，发展势态良好，顺利完成主要发展目标任务，为全市经济增长提供了有力支撑，为服务业更高质量发展奠定了坚实基础。</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rPr>
      </w:pPr>
      <w:r>
        <w:rPr>
          <w:rFonts w:hint="default" w:ascii="Times New Roman" w:hAnsi="Times New Roman" w:cs="Times New Roman"/>
          <w:b/>
          <w:bCs/>
          <w:color w:val="auto"/>
          <w:lang w:val="en-US"/>
        </w:rPr>
        <w:t>规模速度持续跃升。</w:t>
      </w:r>
      <w:r>
        <w:rPr>
          <w:rFonts w:hint="default" w:ascii="Times New Roman" w:hAnsi="Times New Roman" w:eastAsia="仿宋_GB2312" w:cs="Times New Roman"/>
          <w:color w:val="auto"/>
          <w:highlight w:val="none"/>
        </w:rPr>
        <w:t>服务业增加值</w:t>
      </w:r>
      <w:r>
        <w:rPr>
          <w:rFonts w:hint="default" w:ascii="Times New Roman" w:hAnsi="Times New Roman" w:cs="Times New Roman"/>
          <w:color w:val="auto"/>
          <w:highlight w:val="none"/>
          <w:lang w:eastAsia="zh-CN"/>
        </w:rPr>
        <w:t>年均增长</w:t>
      </w:r>
      <w:r>
        <w:rPr>
          <w:rFonts w:hint="default" w:ascii="Times New Roman" w:hAnsi="Times New Roman" w:eastAsia="仿宋_GB2312" w:cs="Times New Roman"/>
          <w:color w:val="auto"/>
          <w:highlight w:val="none"/>
        </w:rPr>
        <w:t>8.7%，</w:t>
      </w:r>
      <w:r>
        <w:rPr>
          <w:rFonts w:hint="default" w:ascii="Times New Roman" w:hAnsi="Times New Roman" w:cs="Times New Roman"/>
          <w:color w:val="auto"/>
          <w:highlight w:val="none"/>
          <w:lang w:eastAsia="zh-CN"/>
        </w:rPr>
        <w:t>高于地区生产总值</w:t>
      </w:r>
      <w:r>
        <w:rPr>
          <w:rFonts w:hint="default" w:ascii="Times New Roman" w:hAnsi="Times New Roman" w:eastAsia="仿宋_GB2312" w:cs="Times New Roman"/>
          <w:color w:val="auto"/>
          <w:highlight w:val="none"/>
        </w:rPr>
        <w:t>增速0.9个百分点</w:t>
      </w:r>
      <w:r>
        <w:rPr>
          <w:rFonts w:hint="default" w:ascii="Times New Roman" w:hAnsi="Times New Roman" w:eastAsia="仿宋_GB2312" w:cs="Times New Roman"/>
          <w:color w:val="auto"/>
          <w:lang w:eastAsia="zh-CN"/>
        </w:rPr>
        <w:t>，</w:t>
      </w:r>
      <w:r>
        <w:rPr>
          <w:rFonts w:hint="default" w:ascii="Times New Roman" w:hAnsi="Times New Roman" w:cs="Times New Roman"/>
          <w:color w:val="auto"/>
          <w:lang w:eastAsia="zh-CN"/>
        </w:rPr>
        <w:t>高于全省</w:t>
      </w:r>
      <w:r>
        <w:rPr>
          <w:rFonts w:hint="default" w:ascii="Times New Roman" w:hAnsi="Times New Roman" w:cs="Times New Roman"/>
          <w:color w:val="auto"/>
          <w:lang w:val="en-US" w:eastAsia="zh-CN"/>
        </w:rPr>
        <w:t>0.6个百分点；</w:t>
      </w:r>
      <w:r>
        <w:rPr>
          <w:rFonts w:hint="default" w:ascii="Times New Roman" w:hAnsi="Times New Roman" w:eastAsia="仿宋_GB2312" w:cs="Times New Roman"/>
          <w:color w:val="auto"/>
          <w:highlight w:val="none"/>
        </w:rPr>
        <w:t>20</w:t>
      </w:r>
      <w:r>
        <w:rPr>
          <w:rFonts w:hint="default" w:ascii="Times New Roman" w:hAnsi="Times New Roman" w:eastAsia="仿宋_GB2312" w:cs="Times New Roman"/>
          <w:color w:val="auto"/>
          <w:highlight w:val="none"/>
          <w:lang w:val="en-US" w:eastAsia="zh-CN"/>
        </w:rPr>
        <w:t>20</w:t>
      </w:r>
      <w:r>
        <w:rPr>
          <w:rFonts w:hint="default" w:ascii="Times New Roman" w:hAnsi="Times New Roman" w:eastAsia="仿宋_GB2312" w:cs="Times New Roman"/>
          <w:color w:val="auto"/>
          <w:highlight w:val="none"/>
        </w:rPr>
        <w:t>年</w:t>
      </w:r>
      <w:r>
        <w:rPr>
          <w:rFonts w:hint="default" w:ascii="Times New Roman" w:hAnsi="Times New Roman" w:cs="Times New Roman"/>
          <w:color w:val="auto"/>
          <w:highlight w:val="none"/>
          <w:lang w:eastAsia="zh-CN"/>
        </w:rPr>
        <w:t>服务业增加值</w:t>
      </w:r>
      <w:r>
        <w:rPr>
          <w:rFonts w:hint="default" w:ascii="Times New Roman" w:hAnsi="Times New Roman" w:eastAsia="仿宋_GB2312" w:cs="Times New Roman"/>
          <w:color w:val="auto"/>
          <w:highlight w:val="none"/>
          <w:lang w:val="en-US" w:eastAsia="zh-CN"/>
        </w:rPr>
        <w:t>1014.96</w:t>
      </w:r>
      <w:r>
        <w:rPr>
          <w:rFonts w:hint="default" w:ascii="Times New Roman" w:hAnsi="Times New Roman" w:eastAsia="仿宋_GB2312" w:cs="Times New Roman"/>
          <w:color w:val="auto"/>
          <w:highlight w:val="none"/>
        </w:rPr>
        <w:t>亿元，</w:t>
      </w:r>
      <w:r>
        <w:rPr>
          <w:rFonts w:hint="default" w:ascii="Times New Roman" w:hAnsi="Times New Roman" w:cs="Times New Roman"/>
          <w:color w:val="auto"/>
          <w:highlight w:val="none"/>
          <w:lang w:eastAsia="zh-CN"/>
        </w:rPr>
        <w:t>占地区生产总值比重</w:t>
      </w:r>
      <w:r>
        <w:rPr>
          <w:rFonts w:hint="default" w:ascii="Times New Roman" w:hAnsi="Times New Roman" w:cs="Times New Roman"/>
          <w:color w:val="auto"/>
          <w:highlight w:val="none"/>
          <w:lang w:val="en-US" w:eastAsia="zh-CN"/>
        </w:rPr>
        <w:t>49.6%，较2015年提高12.3个百分点。服务业固定资产投资年均增长15.4%，高于全部投资3.9个百分点，快于全省平均水平5.3个百分点。5年间服务业从业人员占比累计提高5.4个百分点。</w:t>
      </w:r>
      <w:r>
        <w:rPr>
          <w:rFonts w:hint="default" w:ascii="Times New Roman" w:hAnsi="Times New Roman" w:cs="Times New Roman"/>
          <w:color w:val="auto"/>
          <w:lang w:val="en-US"/>
        </w:rPr>
        <w:t>服务业对经济增长的贡献率持续提升，并提前完成既定服</w:t>
      </w:r>
      <w:r>
        <w:rPr>
          <w:rFonts w:hint="default" w:ascii="Times New Roman" w:hAnsi="Times New Roman" w:eastAsia="仿宋_GB2312" w:cs="Times New Roman"/>
          <w:color w:val="auto"/>
        </w:rPr>
        <w:t>务业总量和占比发展目标。</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rPr>
      </w:pPr>
      <w:r>
        <w:rPr>
          <w:rFonts w:hint="default" w:ascii="Times New Roman" w:hAnsi="Times New Roman" w:cs="Times New Roman"/>
          <w:b/>
          <w:bCs/>
          <w:color w:val="auto"/>
          <w:lang w:val="en-US"/>
        </w:rPr>
        <w:t>新兴业态蓬勃发展。</w:t>
      </w:r>
      <w:r>
        <w:rPr>
          <w:rFonts w:hint="default" w:ascii="Times New Roman" w:hAnsi="Times New Roman" w:eastAsia="仿宋_GB2312" w:cs="Times New Roman"/>
          <w:color w:val="auto"/>
        </w:rPr>
        <w:t>国家级电子商务进农村综合示范县实现县域全覆盖，</w:t>
      </w:r>
      <w:r>
        <w:rPr>
          <w:rFonts w:hint="default" w:ascii="Times New Roman" w:hAnsi="Times New Roman" w:cs="Times New Roman"/>
          <w:color w:val="auto"/>
          <w:lang w:eastAsia="zh-CN"/>
        </w:rPr>
        <w:t>市</w:t>
      </w:r>
      <w:r>
        <w:rPr>
          <w:rFonts w:hint="default" w:ascii="Times New Roman" w:hAnsi="Times New Roman" w:eastAsia="仿宋_GB2312" w:cs="Times New Roman"/>
          <w:color w:val="auto"/>
        </w:rPr>
        <w:t>高新区获评安徽省电子商务示范园区，砀山、埇桥获评全省农村电商巩固提升工作示范县</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区</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。砀山、灵璧分别入选国家全域旅游示范区、全国休闲农业与乡村旅游示范县，萧县获评中国最佳乡村旅游目的地。</w:t>
      </w:r>
      <w:r>
        <w:rPr>
          <w:rFonts w:hint="default" w:ascii="Times New Roman" w:hAnsi="Times New Roman" w:eastAsia="仿宋_GB2312" w:cs="Times New Roman"/>
          <w:b w:val="0"/>
          <w:bCs/>
          <w:color w:val="auto"/>
          <w:sz w:val="32"/>
          <w:szCs w:val="32"/>
          <w:lang w:val="en-US" w:eastAsia="zh-CN"/>
        </w:rPr>
        <w:t>数字经济与实体经济深度融合，</w:t>
      </w:r>
      <w:r>
        <w:rPr>
          <w:rFonts w:hint="default" w:ascii="Times New Roman" w:hAnsi="Times New Roman" w:eastAsia="仿宋_GB2312" w:cs="Times New Roman"/>
          <w:color w:val="auto"/>
        </w:rPr>
        <w:t>2020年，</w:t>
      </w:r>
      <w:r>
        <w:rPr>
          <w:rFonts w:hint="default" w:ascii="Times New Roman" w:hAnsi="Times New Roman" w:eastAsia="仿宋_GB2312" w:cs="Times New Roman"/>
          <w:color w:val="auto"/>
          <w:lang w:val="en-US" w:eastAsia="zh-CN"/>
        </w:rPr>
        <w:t>宿州市</w:t>
      </w:r>
      <w:r>
        <w:rPr>
          <w:rFonts w:hint="default" w:ascii="Times New Roman" w:hAnsi="Times New Roman" w:eastAsia="仿宋_GB2312" w:cs="Times New Roman"/>
          <w:color w:val="auto"/>
        </w:rPr>
        <w:t>规模以上云计算企业达58家，实现产值72.5亿元，完成税收2.4亿元。</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lang w:val="en-US"/>
        </w:rPr>
        <w:t>集群集聚能力逐步增强。</w:t>
      </w:r>
      <w:r>
        <w:rPr>
          <w:rFonts w:hint="default" w:ascii="Times New Roman" w:hAnsi="Times New Roman" w:eastAsia="仿宋_GB2312" w:cs="Times New Roman"/>
          <w:color w:val="auto"/>
        </w:rPr>
        <w:t>宿州</w:t>
      </w:r>
      <w:r>
        <w:rPr>
          <w:rFonts w:hint="default" w:ascii="Times New Roman" w:hAnsi="Times New Roman" w:cs="Times New Roman"/>
          <w:color w:val="auto"/>
          <w:lang w:eastAsia="zh-CN"/>
        </w:rPr>
        <w:t>现代</w:t>
      </w:r>
      <w:r>
        <w:rPr>
          <w:rFonts w:hint="default" w:ascii="Times New Roman" w:hAnsi="Times New Roman" w:eastAsia="仿宋_GB2312" w:cs="Times New Roman"/>
          <w:color w:val="auto"/>
        </w:rPr>
        <w:t>制鞋产业</w:t>
      </w:r>
      <w:r>
        <w:rPr>
          <w:rFonts w:hint="default" w:ascii="Times New Roman" w:hAnsi="Times New Roman" w:eastAsia="仿宋_GB2312" w:cs="Times New Roman"/>
          <w:color w:val="auto"/>
          <w:lang w:val="en-US"/>
        </w:rPr>
        <w:t>城、宿州高新区信息产业园、宿州埇桥汴北现代物流园、埇桥区青年电子商务产业园、宿州宿马物流产业园、</w:t>
      </w:r>
      <w:r>
        <w:rPr>
          <w:rFonts w:hint="default" w:ascii="Times New Roman" w:hAnsi="Times New Roman" w:eastAsia="仿宋_GB2312" w:cs="Times New Roman"/>
          <w:color w:val="auto"/>
        </w:rPr>
        <w:t>灵璧奇石文化产业园、</w:t>
      </w:r>
      <w:r>
        <w:rPr>
          <w:rFonts w:hint="default" w:ascii="Times New Roman" w:hAnsi="Times New Roman" w:eastAsia="仿宋_GB2312" w:cs="Times New Roman"/>
          <w:color w:val="auto"/>
          <w:lang w:val="en-US"/>
        </w:rPr>
        <w:t>砀山县电商产业园、砀山汽博城、泗县泗涂现代物流园等9家</w:t>
      </w:r>
      <w:r>
        <w:rPr>
          <w:rFonts w:hint="default" w:ascii="Times New Roman" w:hAnsi="Times New Roman" w:eastAsia="仿宋_GB2312" w:cs="Times New Roman"/>
          <w:color w:val="auto"/>
          <w:lang w:val="en-US" w:eastAsia="zh-CN"/>
        </w:rPr>
        <w:t>园区</w:t>
      </w:r>
      <w:r>
        <w:rPr>
          <w:rFonts w:hint="default" w:ascii="Times New Roman" w:hAnsi="Times New Roman" w:eastAsia="仿宋_GB2312" w:cs="Times New Roman"/>
          <w:color w:val="auto"/>
          <w:lang w:val="en-US"/>
        </w:rPr>
        <w:t>获批省级服务业集聚区，其中砀山县电商产业园</w:t>
      </w:r>
      <w:r>
        <w:rPr>
          <w:rFonts w:hint="default" w:ascii="Times New Roman" w:hAnsi="Times New Roman" w:eastAsia="仿宋_GB2312" w:cs="Times New Roman"/>
          <w:color w:val="auto"/>
          <w:kern w:val="2"/>
          <w:lang w:val="en-US" w:bidi="ar-SA"/>
        </w:rPr>
        <w:t>、</w:t>
      </w:r>
      <w:r>
        <w:rPr>
          <w:rFonts w:hint="default" w:ascii="Times New Roman" w:hAnsi="Times New Roman" w:eastAsia="仿宋_GB2312" w:cs="Times New Roman"/>
          <w:color w:val="auto"/>
          <w:lang w:val="en-US"/>
        </w:rPr>
        <w:t>宿州高新区信息产业园成功创建省级服务业集聚示范园。集聚区已涵盖现代物流、软件与信息服务、电子商务、文化旅游、新型专业市场等领域</w:t>
      </w:r>
      <w:r>
        <w:rPr>
          <w:rFonts w:hint="default" w:ascii="Times New Roman" w:hAnsi="Times New Roman" w:eastAsia="仿宋_GB2312" w:cs="Times New Roman"/>
          <w:color w:val="auto"/>
          <w:lang w:val="en-US" w:eastAsia="zh-CN"/>
        </w:rPr>
        <w:t>。</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i w:val="0"/>
          <w:iCs w:val="0"/>
          <w:caps w:val="0"/>
          <w:color w:val="auto"/>
          <w:spacing w:val="0"/>
          <w:sz w:val="32"/>
          <w:szCs w:val="32"/>
          <w:shd w:val="clear" w:fill="auto"/>
          <w:lang w:val="en-US"/>
        </w:rPr>
      </w:pPr>
      <w:r>
        <w:rPr>
          <w:rFonts w:hint="default" w:ascii="Times New Roman" w:hAnsi="Times New Roman" w:eastAsia="仿宋_GB2312" w:cs="Times New Roman"/>
          <w:b/>
          <w:bCs/>
          <w:i w:val="0"/>
          <w:iCs w:val="0"/>
          <w:caps w:val="0"/>
          <w:color w:val="auto"/>
          <w:spacing w:val="0"/>
          <w:sz w:val="32"/>
          <w:szCs w:val="32"/>
          <w:shd w:val="clear" w:fill="auto"/>
          <w:lang w:val="en-US"/>
        </w:rPr>
        <w:t>传统商贸</w:t>
      </w:r>
      <w:r>
        <w:rPr>
          <w:rFonts w:hint="default" w:ascii="Times New Roman" w:hAnsi="Times New Roman" w:cs="Times New Roman"/>
          <w:b/>
          <w:bCs/>
          <w:i w:val="0"/>
          <w:iCs w:val="0"/>
          <w:caps w:val="0"/>
          <w:color w:val="auto"/>
          <w:spacing w:val="0"/>
          <w:sz w:val="32"/>
          <w:szCs w:val="32"/>
          <w:shd w:val="clear" w:fill="auto"/>
          <w:lang w:val="en-US" w:eastAsia="zh-CN"/>
        </w:rPr>
        <w:t>提档升级。</w:t>
      </w:r>
      <w:r>
        <w:rPr>
          <w:rFonts w:hint="default" w:ascii="Times New Roman" w:hAnsi="Times New Roman" w:eastAsia="仿宋_GB2312" w:cs="Times New Roman"/>
          <w:i w:val="0"/>
          <w:iCs w:val="0"/>
          <w:caps w:val="0"/>
          <w:color w:val="auto"/>
          <w:spacing w:val="0"/>
          <w:sz w:val="32"/>
          <w:szCs w:val="32"/>
          <w:shd w:val="clear" w:fill="auto"/>
          <w:lang w:val="en-US"/>
        </w:rPr>
        <w:t>引进</w:t>
      </w:r>
      <w:r>
        <w:rPr>
          <w:rFonts w:hint="default" w:ascii="Times New Roman" w:hAnsi="Times New Roman" w:cs="Times New Roman"/>
          <w:i w:val="0"/>
          <w:iCs w:val="0"/>
          <w:caps w:val="0"/>
          <w:color w:val="auto"/>
          <w:spacing w:val="0"/>
          <w:sz w:val="32"/>
          <w:szCs w:val="32"/>
          <w:shd w:val="clear" w:fill="auto"/>
          <w:lang w:val="en-US" w:eastAsia="zh-CN"/>
        </w:rPr>
        <w:t>了</w:t>
      </w:r>
      <w:r>
        <w:rPr>
          <w:rFonts w:hint="default" w:ascii="Times New Roman" w:hAnsi="Times New Roman" w:eastAsia="仿宋_GB2312" w:cs="Times New Roman"/>
          <w:i w:val="0"/>
          <w:iCs w:val="0"/>
          <w:caps w:val="0"/>
          <w:color w:val="auto"/>
          <w:spacing w:val="0"/>
          <w:sz w:val="32"/>
          <w:szCs w:val="32"/>
          <w:shd w:val="clear" w:fill="auto"/>
          <w:lang w:val="en-US"/>
        </w:rPr>
        <w:t>吾悦、万达、苏宁、国购等大型商业综合体；大润发、永辉超市、华润苏果、希尔顿、丰大国际等一批国内外知名品牌相继开店运营</w:t>
      </w:r>
      <w:r>
        <w:rPr>
          <w:rFonts w:hint="default" w:ascii="Times New Roman" w:hAnsi="Times New Roman" w:cs="Times New Roman"/>
          <w:i w:val="0"/>
          <w:iCs w:val="0"/>
          <w:caps w:val="0"/>
          <w:color w:val="auto"/>
          <w:spacing w:val="0"/>
          <w:sz w:val="32"/>
          <w:szCs w:val="32"/>
          <w:shd w:val="clear" w:fill="auto"/>
          <w:lang w:val="en-US" w:eastAsia="zh-CN"/>
        </w:rPr>
        <w:t>；</w:t>
      </w:r>
      <w:r>
        <w:rPr>
          <w:rFonts w:hint="default" w:ascii="Times New Roman" w:hAnsi="Times New Roman" w:eastAsia="仿宋_GB2312" w:cs="Times New Roman"/>
          <w:i w:val="0"/>
          <w:iCs w:val="0"/>
          <w:caps w:val="0"/>
          <w:color w:val="auto"/>
          <w:spacing w:val="0"/>
          <w:sz w:val="32"/>
          <w:szCs w:val="32"/>
          <w:shd w:val="clear" w:fill="auto"/>
          <w:lang w:val="en-US"/>
        </w:rPr>
        <w:t>砀山壹度便利、萧县联华超市等一批商贸流通业龙头企业快速成长</w:t>
      </w:r>
      <w:r>
        <w:rPr>
          <w:rFonts w:hint="default" w:ascii="Times New Roman" w:hAnsi="Times New Roman" w:cs="Times New Roman"/>
          <w:color w:val="auto"/>
          <w:lang w:val="en-US" w:eastAsia="zh-CN"/>
        </w:rPr>
        <w:t>。</w:t>
      </w:r>
      <w:r>
        <w:rPr>
          <w:rFonts w:hint="default" w:ascii="Times New Roman" w:hAnsi="Times New Roman" w:eastAsia="仿宋_GB2312" w:cs="Times New Roman"/>
          <w:i w:val="0"/>
          <w:iCs w:val="0"/>
          <w:caps w:val="0"/>
          <w:color w:val="auto"/>
          <w:spacing w:val="0"/>
          <w:sz w:val="32"/>
          <w:szCs w:val="32"/>
          <w:shd w:val="clear" w:fill="auto"/>
          <w:lang w:val="en-US"/>
        </w:rPr>
        <w:t>全市通过直营、加盟、特许等形式，开设城区便利店2000余家，宿州百大农产品物流中心、白马商城等一批综合及专业市场100余个，中心城区拥有上规模大型综合购物中心9家、大型超市15家。</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rPr>
      </w:pPr>
      <w:r>
        <w:rPr>
          <w:rFonts w:hint="default" w:ascii="Times New Roman" w:hAnsi="Times New Roman" w:cs="Times New Roman"/>
          <w:b/>
          <w:bCs/>
          <w:color w:val="auto"/>
          <w:lang w:val="en-US"/>
        </w:rPr>
        <w:t>发展环境不断优化。</w:t>
      </w:r>
      <w:r>
        <w:rPr>
          <w:rFonts w:hint="default" w:ascii="Times New Roman" w:hAnsi="Times New Roman" w:eastAsia="仿宋_GB2312" w:cs="Times New Roman"/>
          <w:b w:val="0"/>
          <w:bCs w:val="0"/>
          <w:color w:val="auto"/>
          <w:lang w:val="en-US"/>
        </w:rPr>
        <w:t>深化“放管服”改革，“证照分离”“多证合一”改革落地见效，商事制度改革成效显著</w:t>
      </w:r>
      <w:r>
        <w:rPr>
          <w:rFonts w:hint="default"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color w:val="auto"/>
        </w:rPr>
        <w:t>持续推进“一网、一门、一次”改革，着力打造“慧办事、慧审批、慧监管”智慧政务新模式，网上可办率达96.2%，延伸政务服务链条，叠加释放政策红利，有效激发市场活力，“四最”营商环境持续优化，城市信用</w:t>
      </w:r>
      <w:r>
        <w:rPr>
          <w:rFonts w:hint="default" w:ascii="Times New Roman" w:hAnsi="Times New Roman" w:eastAsia="仿宋_GB2312" w:cs="Times New Roman"/>
          <w:color w:val="auto"/>
          <w:lang w:eastAsia="zh-CN"/>
        </w:rPr>
        <w:t>评价</w:t>
      </w:r>
      <w:r>
        <w:rPr>
          <w:rFonts w:hint="default" w:ascii="Times New Roman" w:hAnsi="Times New Roman" w:eastAsia="仿宋_GB2312" w:cs="Times New Roman"/>
          <w:color w:val="auto"/>
        </w:rPr>
        <w:t>排名稳居全国地级市第一方阵。埇桥区被确定为“十三五”全省首批服务业综合改革试点单位。</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3" w:name="_Toc605218803"/>
      <w:r>
        <w:rPr>
          <w:rFonts w:hint="default" w:ascii="Times New Roman" w:hAnsi="Times New Roman" w:eastAsia="方正楷体_GBK" w:cs="Times New Roman"/>
          <w:b/>
          <w:bCs/>
          <w:color w:val="auto"/>
          <w:lang w:val="en-US" w:eastAsia="zh-CN"/>
        </w:rPr>
        <w:t>（二）发展环境</w:t>
      </w:r>
      <w:bookmarkEnd w:id="3"/>
    </w:p>
    <w:p>
      <w:pPr>
        <w:pageBreakBefore w:val="0"/>
        <w:kinsoku/>
        <w:wordWrap/>
        <w:overflowPunct/>
        <w:topLinePunct w:val="0"/>
        <w:bidi w:val="0"/>
        <w:adjustRightInd/>
        <w:snapToGrid/>
        <w:spacing w:line="600" w:lineRule="exact"/>
        <w:textAlignment w:val="auto"/>
        <w:rPr>
          <w:rFonts w:hint="default" w:ascii="Times New Roman" w:hAnsi="Times New Roman" w:eastAsia="仿宋_GB2312" w:cs="Times New Roman"/>
          <w:color w:val="auto"/>
          <w:lang w:eastAsia="zh-CN"/>
        </w:rPr>
      </w:pPr>
      <w:bookmarkStart w:id="4" w:name="_Toc23541"/>
      <w:r>
        <w:rPr>
          <w:rFonts w:hint="default" w:ascii="Times New Roman" w:hAnsi="Times New Roman" w:eastAsia="仿宋_GB2312" w:cs="Times New Roman"/>
          <w:color w:val="auto"/>
        </w:rPr>
        <w:t>“十四五”时期，</w:t>
      </w:r>
      <w:r>
        <w:rPr>
          <w:rFonts w:hint="default" w:ascii="Times New Roman" w:hAnsi="Times New Roman" w:cs="Times New Roman"/>
          <w:b w:val="0"/>
          <w:bCs w:val="0"/>
          <w:color w:val="auto"/>
          <w:highlight w:val="none"/>
          <w:lang w:val="en-US" w:eastAsia="zh-CN"/>
        </w:rPr>
        <w:t>在</w:t>
      </w:r>
      <w:r>
        <w:rPr>
          <w:rFonts w:hint="default" w:ascii="Times New Roman" w:hAnsi="Times New Roman" w:eastAsia="仿宋_GB2312" w:cs="Times New Roman"/>
          <w:color w:val="auto"/>
          <w:highlight w:val="none"/>
        </w:rPr>
        <w:t>新冠肺炎疫情防控常态化</w:t>
      </w:r>
      <w:r>
        <w:rPr>
          <w:rFonts w:hint="default" w:ascii="Times New Roman" w:hAnsi="Times New Roman" w:cs="Times New Roman"/>
          <w:color w:val="auto"/>
          <w:highlight w:val="none"/>
          <w:lang w:eastAsia="zh-CN"/>
        </w:rPr>
        <w:t>和</w:t>
      </w:r>
      <w:r>
        <w:rPr>
          <w:rFonts w:hint="default" w:ascii="Times New Roman" w:hAnsi="Times New Roman" w:eastAsia="仿宋_GB2312" w:cs="Times New Roman"/>
          <w:color w:val="auto"/>
          <w:highlight w:val="none"/>
          <w:lang w:val="en-US"/>
        </w:rPr>
        <w:t>国内大循环、国内国际双循环经济发展格局</w:t>
      </w:r>
      <w:r>
        <w:rPr>
          <w:rFonts w:hint="default" w:ascii="Times New Roman" w:hAnsi="Times New Roman" w:cs="Times New Roman"/>
          <w:color w:val="auto"/>
          <w:highlight w:val="none"/>
          <w:lang w:val="en-US" w:eastAsia="zh-CN"/>
        </w:rPr>
        <w:t>等新形势</w:t>
      </w:r>
      <w:r>
        <w:rPr>
          <w:rFonts w:hint="default" w:ascii="Times New Roman" w:hAnsi="Times New Roman" w:eastAsia="仿宋_GB2312" w:cs="Times New Roman"/>
          <w:color w:val="auto"/>
          <w:highlight w:val="none"/>
          <w:lang w:val="en-US"/>
        </w:rPr>
        <w:t>下</w:t>
      </w:r>
      <w:r>
        <w:rPr>
          <w:rFonts w:hint="default" w:ascii="Times New Roman" w:hAnsi="Times New Roman" w:cs="Times New Roman"/>
          <w:color w:val="auto"/>
          <w:highlight w:val="none"/>
          <w:lang w:val="en-US" w:eastAsia="zh-CN"/>
        </w:rPr>
        <w:t>，</w:t>
      </w:r>
      <w:r>
        <w:rPr>
          <w:rFonts w:hint="default" w:ascii="Times New Roman" w:hAnsi="Times New Roman" w:eastAsia="仿宋_GB2312" w:cs="Times New Roman"/>
          <w:color w:val="auto"/>
        </w:rPr>
        <w:t>服务业日益成为扩大内需、促进经济平稳较快发展的重要抓手，也</w:t>
      </w:r>
      <w:r>
        <w:rPr>
          <w:rFonts w:hint="default" w:ascii="Times New Roman" w:hAnsi="Times New Roman" w:cs="Times New Roman"/>
          <w:color w:val="auto"/>
          <w:lang w:eastAsia="zh-CN"/>
        </w:rPr>
        <w:t>是</w:t>
      </w:r>
      <w:r>
        <w:rPr>
          <w:rFonts w:hint="default" w:ascii="Times New Roman" w:hAnsi="Times New Roman" w:eastAsia="仿宋_GB2312" w:cs="Times New Roman"/>
          <w:color w:val="auto"/>
        </w:rPr>
        <w:t>助推</w:t>
      </w:r>
      <w:r>
        <w:rPr>
          <w:rFonts w:hint="default" w:ascii="Times New Roman" w:hAnsi="Times New Roman" w:cs="Times New Roman"/>
          <w:color w:val="auto"/>
          <w:lang w:eastAsia="zh-CN"/>
        </w:rPr>
        <w:t>我市</w:t>
      </w:r>
      <w:r>
        <w:rPr>
          <w:rFonts w:hint="default" w:ascii="Times New Roman" w:hAnsi="Times New Roman" w:eastAsia="仿宋_GB2312" w:cs="Times New Roman"/>
          <w:color w:val="auto"/>
        </w:rPr>
        <w:t>跨越“中等收入陷阱”、顺利步入高收入地区的重要引擎</w:t>
      </w:r>
      <w:r>
        <w:rPr>
          <w:rFonts w:hint="default" w:ascii="Times New Roman" w:hAnsi="Times New Roman" w:cs="Times New Roman"/>
          <w:color w:val="auto"/>
          <w:lang w:eastAsia="zh-CN"/>
        </w:rPr>
        <w:t>。在</w:t>
      </w:r>
      <w:r>
        <w:rPr>
          <w:rFonts w:hint="default" w:ascii="Times New Roman" w:hAnsi="Times New Roman" w:cs="Times New Roman"/>
          <w:color w:val="auto"/>
          <w:lang w:val="en-US" w:eastAsia="zh-CN"/>
        </w:rPr>
        <w:t>转变发展方式、提质增效的关键时期</w:t>
      </w:r>
      <w:r>
        <w:rPr>
          <w:rFonts w:hint="default" w:ascii="Times New Roman" w:hAnsi="Times New Roman" w:eastAsia="仿宋_GB2312" w:cs="Times New Roman"/>
          <w:color w:val="auto"/>
        </w:rPr>
        <w:t>。</w:t>
      </w:r>
    </w:p>
    <w:p>
      <w:pPr>
        <w:pageBreakBefore w:val="0"/>
        <w:kinsoku/>
        <w:wordWrap/>
        <w:overflowPunct/>
        <w:topLinePunct w:val="0"/>
        <w:bidi w:val="0"/>
        <w:adjustRightInd/>
        <w:snapToGrid/>
        <w:spacing w:line="600" w:lineRule="exact"/>
        <w:ind w:firstLine="642"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rPr>
        <w:t>长三角一体化</w:t>
      </w:r>
      <w:r>
        <w:rPr>
          <w:rFonts w:hint="default" w:ascii="Times New Roman" w:hAnsi="Times New Roman" w:cs="Times New Roman"/>
          <w:b/>
          <w:bCs/>
          <w:color w:val="auto"/>
          <w:lang w:val="en-US" w:eastAsia="zh-CN"/>
        </w:rPr>
        <w:t>等国家重大战略深入实施</w:t>
      </w:r>
      <w:r>
        <w:rPr>
          <w:rFonts w:hint="default" w:ascii="Times New Roman" w:hAnsi="Times New Roman" w:eastAsia="仿宋_GB2312" w:cs="Times New Roman"/>
          <w:b/>
          <w:bCs/>
          <w:color w:val="auto"/>
          <w:lang w:val="en-US"/>
        </w:rPr>
        <w:t>。</w:t>
      </w:r>
      <w:r>
        <w:rPr>
          <w:rFonts w:hint="default" w:ascii="Times New Roman" w:hAnsi="Times New Roman" w:eastAsia="仿宋_GB2312" w:cs="Times New Roman"/>
          <w:color w:val="auto"/>
        </w:rPr>
        <w:t>国家将安徽全域纳入长三</w:t>
      </w:r>
      <w:r>
        <w:rPr>
          <w:rFonts w:hint="default" w:ascii="Times New Roman" w:hAnsi="Times New Roman" w:eastAsia="仿宋_GB2312" w:cs="Times New Roman"/>
          <w:color w:val="auto"/>
          <w:lang w:val="en-US"/>
        </w:rPr>
        <w:t>角</w:t>
      </w:r>
      <w:r>
        <w:rPr>
          <w:rFonts w:hint="default" w:ascii="Times New Roman" w:hAnsi="Times New Roman" w:eastAsia="仿宋_GB2312" w:cs="Times New Roman"/>
          <w:color w:val="auto"/>
        </w:rPr>
        <w:t>一体化发展国家战略，全面提升了</w:t>
      </w:r>
      <w:r>
        <w:rPr>
          <w:rFonts w:hint="default" w:ascii="Times New Roman" w:hAnsi="Times New Roman" w:eastAsia="仿宋_GB2312" w:cs="Times New Roman"/>
          <w:color w:val="auto"/>
          <w:lang w:eastAsia="zh-CN"/>
        </w:rPr>
        <w:t>我市</w:t>
      </w:r>
      <w:r>
        <w:rPr>
          <w:rFonts w:hint="default" w:ascii="Times New Roman" w:hAnsi="Times New Roman" w:eastAsia="仿宋_GB2312" w:cs="Times New Roman"/>
          <w:color w:val="auto"/>
        </w:rPr>
        <w:t>在全国发展格局中的地位。《沪苏浙城市结对合作帮扶皖北城市实施方案》</w:t>
      </w:r>
      <w:r>
        <w:rPr>
          <w:rFonts w:hint="default" w:ascii="Times New Roman" w:hAnsi="Times New Roman" w:eastAsia="仿宋_GB2312" w:cs="Times New Roman"/>
          <w:color w:val="auto"/>
          <w:lang w:eastAsia="zh-CN"/>
        </w:rPr>
        <w:t>明确杭州市结对帮扶宿州市，将</w:t>
      </w:r>
      <w:r>
        <w:rPr>
          <w:rFonts w:hint="default" w:ascii="Times New Roman" w:hAnsi="Times New Roman" w:eastAsia="仿宋_GB2312" w:cs="Times New Roman"/>
          <w:color w:val="auto"/>
        </w:rPr>
        <w:t>进一步激发宿州内生发展动力，增强</w:t>
      </w:r>
      <w:r>
        <w:rPr>
          <w:rFonts w:hint="default" w:ascii="Times New Roman" w:hAnsi="Times New Roman" w:eastAsia="仿宋_GB2312" w:cs="Times New Roman"/>
          <w:color w:val="auto"/>
          <w:lang w:eastAsia="zh-CN"/>
        </w:rPr>
        <w:t>服务业</w:t>
      </w:r>
      <w:r>
        <w:rPr>
          <w:rFonts w:hint="default" w:ascii="Times New Roman" w:hAnsi="Times New Roman" w:eastAsia="仿宋_GB2312" w:cs="Times New Roman"/>
          <w:color w:val="auto"/>
        </w:rPr>
        <w:t>高质量发展动能</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同时省委省政府加快打造皖北承接产业转移</w:t>
      </w:r>
      <w:r>
        <w:rPr>
          <w:rFonts w:hint="default" w:ascii="Times New Roman" w:hAnsi="Times New Roman" w:eastAsia="仿宋_GB2312" w:cs="Times New Roman"/>
          <w:color w:val="auto"/>
          <w:lang w:val="en-US" w:eastAsia="zh-CN"/>
        </w:rPr>
        <w:t>集聚区</w:t>
      </w:r>
      <w:r>
        <w:rPr>
          <w:rFonts w:hint="default" w:ascii="Times New Roman" w:hAnsi="Times New Roman" w:eastAsia="仿宋_GB2312" w:cs="Times New Roman"/>
          <w:color w:val="auto"/>
        </w:rPr>
        <w:t>，打造省际毗邻区域协同发展样板区和淮海经济区副中心城市，为</w:t>
      </w:r>
      <w:r>
        <w:rPr>
          <w:rFonts w:hint="default" w:ascii="Times New Roman" w:hAnsi="Times New Roman" w:eastAsia="仿宋_GB2312" w:cs="Times New Roman"/>
          <w:color w:val="auto"/>
          <w:lang w:eastAsia="zh-CN"/>
        </w:rPr>
        <w:t>我市</w:t>
      </w:r>
      <w:r>
        <w:rPr>
          <w:rFonts w:hint="default" w:ascii="Times New Roman" w:hAnsi="Times New Roman" w:eastAsia="仿宋_GB2312" w:cs="Times New Roman"/>
          <w:color w:val="auto"/>
        </w:rPr>
        <w:t>发挥自身比较优势，</w:t>
      </w:r>
      <w:r>
        <w:rPr>
          <w:rFonts w:hint="default" w:ascii="Times New Roman" w:hAnsi="Times New Roman" w:eastAsia="仿宋_GB2312" w:cs="Times New Roman"/>
          <w:color w:val="auto"/>
          <w:lang w:val="en-US" w:eastAsia="zh-CN"/>
        </w:rPr>
        <w:t>主动承接上海一般制造等非核心功能疏解和高技术溢出，高起点高质量承接沪苏浙产业转移，</w:t>
      </w:r>
      <w:r>
        <w:rPr>
          <w:rFonts w:hint="default" w:ascii="Times New Roman" w:hAnsi="Times New Roman" w:eastAsia="仿宋_GB2312" w:cs="Times New Roman"/>
          <w:color w:val="auto"/>
        </w:rPr>
        <w:t>进一步融入长三角产业分工协作体系，加快推进产业一体化建设带来了历史性机遇，服务业对内对外开放发展相对滞后的局面有望改善。</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新</w:t>
      </w:r>
      <w:r>
        <w:rPr>
          <w:rFonts w:hint="default" w:ascii="Times New Roman" w:hAnsi="Times New Roman" w:cs="Times New Roman"/>
          <w:b/>
          <w:bCs/>
          <w:color w:val="auto"/>
          <w:lang w:val="en-US" w:eastAsia="zh-CN"/>
        </w:rPr>
        <w:t>产业</w:t>
      </w:r>
      <w:r>
        <w:rPr>
          <w:rFonts w:hint="default" w:ascii="Times New Roman" w:hAnsi="Times New Roman" w:eastAsia="仿宋_GB2312" w:cs="Times New Roman"/>
          <w:b/>
          <w:bCs/>
          <w:color w:val="auto"/>
          <w:lang w:val="en-US" w:eastAsia="zh-CN"/>
        </w:rPr>
        <w:t>新</w:t>
      </w:r>
      <w:r>
        <w:rPr>
          <w:rFonts w:hint="default" w:ascii="Times New Roman" w:hAnsi="Times New Roman" w:eastAsia="仿宋_GB2312" w:cs="Times New Roman"/>
          <w:b/>
          <w:bCs/>
          <w:color w:val="auto"/>
          <w:lang w:val="en-US"/>
        </w:rPr>
        <w:t>业态</w:t>
      </w:r>
      <w:r>
        <w:rPr>
          <w:rFonts w:hint="default" w:ascii="Times New Roman" w:hAnsi="Times New Roman" w:eastAsia="仿宋_GB2312" w:cs="Times New Roman"/>
          <w:b/>
          <w:bCs/>
          <w:color w:val="auto"/>
          <w:lang w:val="en-US" w:eastAsia="zh-CN"/>
        </w:rPr>
        <w:t>新</w:t>
      </w:r>
      <w:r>
        <w:rPr>
          <w:rFonts w:hint="default" w:ascii="Times New Roman" w:hAnsi="Times New Roman" w:eastAsia="仿宋_GB2312" w:cs="Times New Roman"/>
          <w:b/>
          <w:bCs/>
          <w:color w:val="auto"/>
          <w:lang w:val="en-US"/>
        </w:rPr>
        <w:t>模式加速</w:t>
      </w:r>
      <w:r>
        <w:rPr>
          <w:rFonts w:hint="default" w:ascii="Times New Roman" w:hAnsi="Times New Roman" w:eastAsia="仿宋_GB2312" w:cs="Times New Roman"/>
          <w:b/>
          <w:bCs/>
          <w:color w:val="auto"/>
          <w:lang w:val="en-US" w:eastAsia="zh-CN"/>
        </w:rPr>
        <w:t>成长</w:t>
      </w:r>
      <w:r>
        <w:rPr>
          <w:rFonts w:hint="default" w:ascii="Times New Roman" w:hAnsi="Times New Roman" w:eastAsia="仿宋_GB2312" w:cs="Times New Roman"/>
          <w:b/>
          <w:bCs/>
          <w:color w:val="auto"/>
          <w:lang w:val="en-US"/>
        </w:rPr>
        <w:t>。</w:t>
      </w:r>
      <w:r>
        <w:rPr>
          <w:rFonts w:hint="default" w:ascii="Times New Roman" w:hAnsi="Times New Roman" w:eastAsia="仿宋_GB2312" w:cs="Times New Roman"/>
          <w:color w:val="auto"/>
        </w:rPr>
        <w:t>新一轮科技革命和产业变革正处于重要的交汇期，以数字化、网络化、智能化为标志的信息技术革命正深刻改变着当今世界的战略格局，催生了大量服务业新产业、新业态和新模式。</w:t>
      </w:r>
      <w:r>
        <w:rPr>
          <w:rFonts w:hint="default" w:ascii="Times New Roman" w:hAnsi="Times New Roman" w:cs="Times New Roman"/>
          <w:color w:val="auto"/>
          <w:lang w:eastAsia="zh-CN"/>
        </w:rPr>
        <w:t>通过</w:t>
      </w:r>
      <w:r>
        <w:rPr>
          <w:rFonts w:hint="default" w:ascii="Times New Roman" w:hAnsi="Times New Roman" w:eastAsia="仿宋_GB2312" w:cs="Times New Roman"/>
          <w:color w:val="auto"/>
        </w:rPr>
        <w:t>互联网、大数据、人工智能</w:t>
      </w:r>
      <w:r>
        <w:rPr>
          <w:rFonts w:hint="default" w:ascii="Times New Roman" w:hAnsi="Times New Roman" w:cs="Times New Roman"/>
          <w:color w:val="auto"/>
          <w:lang w:eastAsia="zh-CN"/>
        </w:rPr>
        <w:t>与</w:t>
      </w:r>
      <w:r>
        <w:rPr>
          <w:rFonts w:hint="default" w:ascii="Times New Roman" w:hAnsi="Times New Roman" w:eastAsia="仿宋_GB2312" w:cs="Times New Roman"/>
          <w:color w:val="auto"/>
        </w:rPr>
        <w:t>实体经济</w:t>
      </w:r>
      <w:r>
        <w:rPr>
          <w:rFonts w:hint="default" w:ascii="Times New Roman" w:hAnsi="Times New Roman" w:cs="Times New Roman"/>
          <w:color w:val="auto"/>
          <w:lang w:eastAsia="zh-CN"/>
        </w:rPr>
        <w:t>深度融合</w:t>
      </w:r>
      <w:r>
        <w:rPr>
          <w:rFonts w:hint="default" w:ascii="Times New Roman" w:hAnsi="Times New Roman" w:eastAsia="仿宋_GB2312" w:cs="Times New Roman"/>
          <w:color w:val="auto"/>
        </w:rPr>
        <w:t>，</w:t>
      </w:r>
      <w:r>
        <w:rPr>
          <w:rFonts w:hint="default" w:ascii="Times New Roman" w:hAnsi="Times New Roman" w:cs="Times New Roman"/>
          <w:color w:val="auto"/>
          <w:lang w:eastAsia="zh-CN"/>
        </w:rPr>
        <w:t>先进制造业和现代服务业深度融合，服务业</w:t>
      </w:r>
      <w:r>
        <w:rPr>
          <w:rFonts w:hint="default" w:ascii="Times New Roman" w:hAnsi="Times New Roman" w:eastAsia="仿宋_GB2312" w:cs="Times New Roman"/>
          <w:color w:val="auto"/>
        </w:rPr>
        <w:t>信息与软件服务、科创服务、文化创意等领域</w:t>
      </w:r>
      <w:r>
        <w:rPr>
          <w:rFonts w:hint="default" w:ascii="Times New Roman" w:hAnsi="Times New Roman" w:cs="Times New Roman"/>
          <w:color w:val="auto"/>
          <w:lang w:eastAsia="zh-CN"/>
        </w:rPr>
        <w:t>发展潜力巨大</w:t>
      </w:r>
      <w:r>
        <w:rPr>
          <w:rFonts w:hint="default" w:ascii="Times New Roman" w:hAnsi="Times New Roman" w:eastAsia="仿宋_GB2312" w:cs="Times New Roman"/>
          <w:color w:val="auto"/>
        </w:rPr>
        <w:t>。</w:t>
      </w:r>
      <w:r>
        <w:rPr>
          <w:rFonts w:hint="default" w:ascii="Times New Roman" w:hAnsi="Times New Roman" w:cs="Times New Roman"/>
          <w:color w:val="auto"/>
          <w:lang w:eastAsia="zh-CN"/>
        </w:rPr>
        <w:t>随着</w:t>
      </w:r>
      <w:r>
        <w:rPr>
          <w:rFonts w:hint="default" w:ascii="Times New Roman" w:hAnsi="Times New Roman" w:eastAsia="仿宋_GB2312" w:cs="Times New Roman"/>
          <w:color w:val="auto"/>
          <w:lang w:val="en-US"/>
        </w:rPr>
        <w:t>5G网络</w:t>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"https://baike.baidu.com/item/5G/29780" \t "https://baike.baidu.com/item/%E6%96%B0%E5%9E%8B%E5%9F%BA%E7%A1%80%E8%AE%BE%E6%96%BD%E5%BB%BA%E8%AE%BE/_blank"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lang w:val="en-US"/>
        </w:rPr>
        <w:t>、</w:t>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"https://baike.baidu.com/item/%E4%BA%BA%E5%B7%A5%E6%99%BA%E8%83%BD/9180" \t "https://baike.baidu.com/item/%E6%96%B0%E5%9E%8B%E5%9F%BA%E7%A1%80%E8%AE%BE%E6%96%BD%E5%BB%BA%E8%AE%BE/_blank"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lang w:val="en-US"/>
        </w:rPr>
        <w:t>人工智能</w:t>
      </w:r>
      <w:r>
        <w:rPr>
          <w:rFonts w:hint="default" w:ascii="Times New Roman" w:hAnsi="Times New Roman" w:eastAsia="仿宋_GB2312" w:cs="Times New Roman"/>
          <w:color w:val="auto"/>
          <w:lang w:val="en-US"/>
        </w:rPr>
        <w:fldChar w:fldCharType="end"/>
      </w:r>
      <w:r>
        <w:rPr>
          <w:rFonts w:hint="default" w:ascii="Times New Roman" w:hAnsi="Times New Roman" w:eastAsia="仿宋_GB2312" w:cs="Times New Roman"/>
          <w:color w:val="auto"/>
          <w:lang w:val="en-US"/>
        </w:rPr>
        <w:t>、</w:t>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"https://baike.baidu.com/item/%E5%B7%A5%E4%B8%9A%E4%BA%92%E8%81%94%E7%BD%91/8413475" \t "https://baike.baidu.com/item/%E6%96%B0%E5%9E%8B%E5%9F%BA%E7%A1%80%E8%AE%BE%E6%96%BD%E5%BB%BA%E8%AE%BE/_blank"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lang w:val="en-US"/>
        </w:rPr>
        <w:t>工业互联网</w:t>
      </w:r>
      <w:r>
        <w:rPr>
          <w:rFonts w:hint="default" w:ascii="Times New Roman" w:hAnsi="Times New Roman" w:eastAsia="仿宋_GB2312" w:cs="Times New Roman"/>
          <w:color w:val="auto"/>
          <w:lang w:val="en-US"/>
        </w:rPr>
        <w:fldChar w:fldCharType="end"/>
      </w:r>
      <w:r>
        <w:rPr>
          <w:rFonts w:hint="default" w:ascii="Times New Roman" w:hAnsi="Times New Roman" w:eastAsia="仿宋_GB2312" w:cs="Times New Roman"/>
          <w:color w:val="auto"/>
          <w:lang w:val="en-US"/>
        </w:rPr>
        <w:t>、物联网</w:t>
      </w:r>
      <w:r>
        <w:rPr>
          <w:rFonts w:hint="default" w:ascii="Times New Roman" w:hAnsi="Times New Roman" w:eastAsia="仿宋_GB2312" w:cs="Times New Roman"/>
          <w:color w:val="auto"/>
        </w:rPr>
        <w:fldChar w:fldCharType="begin"/>
      </w:r>
      <w:r>
        <w:rPr>
          <w:rFonts w:hint="default" w:ascii="Times New Roman" w:hAnsi="Times New Roman" w:eastAsia="仿宋_GB2312" w:cs="Times New Roman"/>
          <w:color w:val="auto"/>
        </w:rPr>
        <w:instrText xml:space="preserve"> HYPERLINK "https://baike.baidu.com/item/%E7%89%A9%E8%81%94%E7%BD%91/7306589" \t "https://baike.baidu.com/item/%E6%96%B0%E5%9E%8B%E5%9F%BA%E7%A1%80%E8%AE%BE%E6%96%BD%E5%BB%BA%E8%AE%BE/_blank" </w:instrText>
      </w:r>
      <w:r>
        <w:rPr>
          <w:rFonts w:hint="default" w:ascii="Times New Roman" w:hAnsi="Times New Roman" w:eastAsia="仿宋_GB2312" w:cs="Times New Roman"/>
          <w:color w:val="auto"/>
        </w:rPr>
        <w:fldChar w:fldCharType="separate"/>
      </w:r>
      <w:r>
        <w:rPr>
          <w:rFonts w:hint="default" w:ascii="Times New Roman" w:hAnsi="Times New Roman" w:eastAsia="仿宋_GB2312" w:cs="Times New Roman"/>
          <w:color w:val="auto"/>
        </w:rPr>
        <w:fldChar w:fldCharType="end"/>
      </w:r>
      <w:r>
        <w:rPr>
          <w:rFonts w:hint="default" w:ascii="Times New Roman" w:hAnsi="Times New Roman" w:eastAsia="仿宋_GB2312" w:cs="Times New Roman"/>
          <w:color w:val="auto"/>
          <w:lang w:val="en-US"/>
        </w:rPr>
        <w:t>等新型基础设施加快建设，</w:t>
      </w:r>
      <w:r>
        <w:rPr>
          <w:rFonts w:hint="default" w:ascii="Times New Roman" w:hAnsi="Times New Roman" w:cs="Times New Roman"/>
          <w:color w:val="auto"/>
          <w:lang w:eastAsia="zh-CN"/>
        </w:rPr>
        <w:t>我市新兴服务业将迎来良好的发展契机</w:t>
      </w:r>
      <w:r>
        <w:rPr>
          <w:rFonts w:hint="default" w:ascii="Times New Roman" w:hAnsi="Times New Roman" w:eastAsia="仿宋_GB2312" w:cs="Times New Roman"/>
          <w:color w:val="auto"/>
        </w:rPr>
        <w:t>。</w:t>
      </w:r>
    </w:p>
    <w:p>
      <w:pPr>
        <w:pageBreakBefore w:val="0"/>
        <w:kinsoku/>
        <w:wordWrap/>
        <w:overflowPunct/>
        <w:topLinePunct w:val="0"/>
        <w:bidi w:val="0"/>
        <w:adjustRightInd/>
        <w:snapToGrid/>
        <w:spacing w:line="600" w:lineRule="exact"/>
        <w:ind w:firstLine="642" w:firstLineChars="200"/>
        <w:textAlignment w:val="auto"/>
        <w:rPr>
          <w:rFonts w:hint="default" w:ascii="Times New Roman" w:hAnsi="Times New Roman" w:eastAsia="仿宋_GB2312" w:cs="Times New Roman"/>
          <w:color w:val="auto"/>
          <w:lang w:eastAsia="zh-CN"/>
        </w:rPr>
      </w:pPr>
      <w:bookmarkStart w:id="5" w:name="_Toc418868101"/>
      <w:r>
        <w:rPr>
          <w:rFonts w:hint="default" w:ascii="Times New Roman" w:hAnsi="Times New Roman" w:eastAsia="仿宋_GB2312" w:cs="Times New Roman"/>
          <w:b/>
          <w:bCs/>
          <w:color w:val="auto"/>
          <w:lang w:val="en-US"/>
        </w:rPr>
        <w:t>新型城镇化</w:t>
      </w:r>
      <w:bookmarkEnd w:id="5"/>
      <w:r>
        <w:rPr>
          <w:rFonts w:hint="default" w:ascii="Times New Roman" w:hAnsi="Times New Roman" w:cs="Times New Roman"/>
          <w:b/>
          <w:bCs/>
          <w:color w:val="auto"/>
          <w:lang w:val="en-US" w:eastAsia="zh-CN"/>
        </w:rPr>
        <w:t>加速推进</w:t>
      </w:r>
      <w:r>
        <w:rPr>
          <w:rFonts w:hint="default" w:ascii="Times New Roman" w:hAnsi="Times New Roman" w:eastAsia="仿宋_GB2312" w:cs="Times New Roman"/>
          <w:b/>
          <w:bCs/>
          <w:color w:val="auto"/>
          <w:lang w:val="en-US" w:eastAsia="zh-CN"/>
        </w:rPr>
        <w:t>。</w:t>
      </w:r>
      <w:r>
        <w:rPr>
          <w:rFonts w:hint="default" w:ascii="Times New Roman" w:hAnsi="Times New Roman" w:cs="Times New Roman"/>
          <w:b w:val="0"/>
          <w:bCs w:val="0"/>
          <w:color w:val="auto"/>
          <w:lang w:val="en-US" w:eastAsia="zh-CN"/>
        </w:rPr>
        <w:t>“十四五”时期国家</w:t>
      </w:r>
      <w:r>
        <w:rPr>
          <w:rFonts w:hint="default" w:ascii="Times New Roman" w:hAnsi="Times New Roman" w:eastAsia="仿宋_GB2312" w:cs="Times New Roman"/>
          <w:color w:val="auto"/>
        </w:rPr>
        <w:t>深入推进以人为核心的新型城镇化战略</w:t>
      </w:r>
      <w:r>
        <w:rPr>
          <w:rFonts w:hint="default" w:ascii="Times New Roman" w:hAnsi="Times New Roman" w:cs="Times New Roman"/>
          <w:color w:val="auto"/>
          <w:lang w:eastAsia="zh-CN"/>
        </w:rPr>
        <w:t>，农业转移人口全面融入城市，</w:t>
      </w:r>
      <w:r>
        <w:rPr>
          <w:rFonts w:hint="default" w:ascii="Times New Roman" w:hAnsi="Times New Roman" w:eastAsia="仿宋_GB2312" w:cs="Times New Roman"/>
          <w:b w:val="0"/>
          <w:bCs w:val="0"/>
          <w:color w:val="auto"/>
          <w:lang w:val="en-US"/>
        </w:rPr>
        <w:t>城市功能</w:t>
      </w:r>
      <w:r>
        <w:rPr>
          <w:rFonts w:hint="default" w:ascii="Times New Roman" w:hAnsi="Times New Roman" w:cs="Times New Roman"/>
          <w:b w:val="0"/>
          <w:bCs w:val="0"/>
          <w:color w:val="auto"/>
          <w:lang w:val="en-US" w:eastAsia="zh-CN"/>
        </w:rPr>
        <w:t>不断完善，城市治理水平不断提高，县域补短板强弱项加速推进，为我市服务业增加有效供给、优化服务结构、改善服务质量，进而</w:t>
      </w:r>
      <w:r>
        <w:rPr>
          <w:rFonts w:hint="default" w:ascii="Times New Roman" w:hAnsi="Times New Roman" w:cs="Times New Roman"/>
          <w:color w:val="auto"/>
          <w:lang w:eastAsia="zh-CN"/>
        </w:rPr>
        <w:t>提升城市承载能力提出了更高要求，为建立与新型城镇化协调发展的新型服务业体系增添了更大动能。</w:t>
      </w:r>
    </w:p>
    <w:p>
      <w:pPr>
        <w:pageBreakBefore w:val="0"/>
        <w:kinsoku/>
        <w:wordWrap/>
        <w:overflowPunct/>
        <w:topLinePunct w:val="0"/>
        <w:bidi w:val="0"/>
        <w:adjustRightInd/>
        <w:snapToGrid/>
        <w:spacing w:line="600" w:lineRule="exact"/>
        <w:ind w:firstLine="642"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lang w:val="en-US"/>
        </w:rPr>
        <w:t>居民消费升级步伐加快。</w:t>
      </w:r>
      <w:r>
        <w:rPr>
          <w:rFonts w:hint="default" w:ascii="Times New Roman" w:hAnsi="Times New Roman" w:eastAsia="仿宋_GB2312" w:cs="Times New Roman"/>
          <w:color w:val="auto"/>
        </w:rPr>
        <w:t>作为人口大市和消费升级的后发区，</w:t>
      </w:r>
      <w:r>
        <w:rPr>
          <w:rFonts w:hint="default" w:ascii="Times New Roman" w:hAnsi="Times New Roman" w:cs="Times New Roman"/>
          <w:color w:val="auto"/>
          <w:lang w:eastAsia="zh-CN"/>
        </w:rPr>
        <w:t>随着居民收入水平的稳步提高，</w:t>
      </w:r>
      <w:r>
        <w:rPr>
          <w:rFonts w:hint="default" w:ascii="Times New Roman" w:hAnsi="Times New Roman" w:eastAsia="仿宋_GB2312" w:cs="Times New Roman"/>
          <w:color w:val="auto"/>
          <w:lang w:val="en-US" w:eastAsia="zh-CN"/>
        </w:rPr>
        <w:t>规模市场优势和内需潜力将被充分激发</w:t>
      </w:r>
      <w:r>
        <w:rPr>
          <w:rFonts w:hint="default" w:ascii="Times New Roman" w:hAnsi="Times New Roman" w:eastAsia="仿宋_GB2312" w:cs="Times New Roman"/>
          <w:color w:val="auto"/>
        </w:rPr>
        <w:t>。消费结构也将逐步由生存型、传统型、物质型向发展型、现代型、服务型转变，</w:t>
      </w:r>
      <w:r>
        <w:rPr>
          <w:rFonts w:hint="default" w:ascii="Times New Roman" w:hAnsi="Times New Roman" w:cs="Times New Roman"/>
          <w:color w:val="auto"/>
          <w:lang w:eastAsia="zh-CN"/>
        </w:rPr>
        <w:t>养老育幼</w:t>
      </w:r>
      <w:r>
        <w:rPr>
          <w:rFonts w:hint="default" w:ascii="Times New Roman" w:hAnsi="Times New Roman" w:eastAsia="仿宋_GB2312" w:cs="Times New Roman"/>
          <w:color w:val="auto"/>
        </w:rPr>
        <w:t>、文化旅游</w:t>
      </w:r>
      <w:r>
        <w:rPr>
          <w:rFonts w:hint="default" w:ascii="Times New Roman" w:hAnsi="Times New Roman" w:cs="Times New Roman"/>
          <w:color w:val="auto"/>
          <w:lang w:eastAsia="zh-CN"/>
        </w:rPr>
        <w:t>、</w:t>
      </w:r>
      <w:r>
        <w:rPr>
          <w:rFonts w:hint="default" w:ascii="Times New Roman" w:hAnsi="Times New Roman" w:eastAsia="仿宋_GB2312" w:cs="Times New Roman"/>
          <w:color w:val="auto"/>
        </w:rPr>
        <w:t>健康</w:t>
      </w:r>
      <w:r>
        <w:rPr>
          <w:rFonts w:hint="default" w:ascii="Times New Roman" w:hAnsi="Times New Roman" w:cs="Times New Roman"/>
          <w:color w:val="auto"/>
          <w:lang w:eastAsia="zh-CN"/>
        </w:rPr>
        <w:t>体育</w:t>
      </w:r>
      <w:r>
        <w:rPr>
          <w:rFonts w:hint="default" w:ascii="Times New Roman" w:hAnsi="Times New Roman" w:eastAsia="仿宋_GB2312" w:cs="Times New Roman"/>
          <w:color w:val="auto"/>
        </w:rPr>
        <w:t>等生活性服务业</w:t>
      </w:r>
      <w:r>
        <w:rPr>
          <w:rFonts w:hint="default" w:ascii="Times New Roman" w:hAnsi="Times New Roman" w:cs="Times New Roman"/>
          <w:color w:val="auto"/>
          <w:lang w:eastAsia="zh-CN"/>
        </w:rPr>
        <w:t>市场前景广阔</w:t>
      </w:r>
      <w:r>
        <w:rPr>
          <w:rFonts w:hint="default" w:ascii="Times New Roman" w:hAnsi="Times New Roman" w:eastAsia="仿宋_GB2312" w:cs="Times New Roman"/>
          <w:color w:val="auto"/>
        </w:rPr>
        <w:t>。与此同时，宿州周边经济腹地广阔，500公里半径内，辐射我国中东部8个省市、近5亿人口、12万亿元</w:t>
      </w:r>
      <w:r>
        <w:rPr>
          <w:rFonts w:hint="default" w:ascii="Times New Roman" w:hAnsi="Times New Roman" w:eastAsia="仿宋_GB2312" w:cs="Times New Roman"/>
          <w:color w:val="auto"/>
          <w:lang w:eastAsia="zh-CN"/>
        </w:rPr>
        <w:t>的</w:t>
      </w:r>
      <w:r>
        <w:rPr>
          <w:rFonts w:hint="default" w:ascii="Times New Roman" w:hAnsi="Times New Roman" w:cs="Times New Roman"/>
          <w:color w:val="auto"/>
          <w:lang w:eastAsia="zh-CN"/>
        </w:rPr>
        <w:t>庞大</w:t>
      </w:r>
      <w:r>
        <w:rPr>
          <w:rFonts w:hint="default" w:ascii="Times New Roman" w:hAnsi="Times New Roman" w:eastAsia="仿宋_GB2312" w:cs="Times New Roman"/>
          <w:color w:val="auto"/>
        </w:rPr>
        <w:t>消费市场</w:t>
      </w:r>
      <w:r>
        <w:rPr>
          <w:rFonts w:hint="default" w:ascii="Times New Roman" w:hAnsi="Times New Roman" w:eastAsia="仿宋_GB2312" w:cs="Times New Roman"/>
          <w:b w:val="0"/>
          <w:bCs w:val="0"/>
          <w:color w:val="auto"/>
          <w:lang w:val="en-US"/>
        </w:rPr>
        <w:t>，</w:t>
      </w:r>
      <w:r>
        <w:rPr>
          <w:rFonts w:hint="default" w:ascii="Times New Roman" w:hAnsi="Times New Roman" w:cs="Times New Roman"/>
          <w:b w:val="0"/>
          <w:bCs w:val="0"/>
          <w:color w:val="auto"/>
          <w:lang w:val="en-US" w:eastAsia="zh-CN"/>
        </w:rPr>
        <w:t>为我市</w:t>
      </w:r>
      <w:r>
        <w:rPr>
          <w:rFonts w:hint="default" w:ascii="Times New Roman" w:hAnsi="Times New Roman" w:eastAsia="仿宋_GB2312" w:cs="Times New Roman"/>
          <w:b w:val="0"/>
          <w:bCs w:val="0"/>
          <w:color w:val="auto"/>
          <w:lang w:val="en-US"/>
        </w:rPr>
        <w:t>服务业发展</w:t>
      </w:r>
      <w:r>
        <w:rPr>
          <w:rFonts w:hint="default" w:ascii="Times New Roman" w:hAnsi="Times New Roman" w:cs="Times New Roman"/>
          <w:b w:val="0"/>
          <w:bCs w:val="0"/>
          <w:color w:val="auto"/>
          <w:lang w:val="en-US" w:eastAsia="zh-CN"/>
        </w:rPr>
        <w:t>带来了巨大的市场</w:t>
      </w:r>
      <w:r>
        <w:rPr>
          <w:rFonts w:hint="default" w:ascii="Times New Roman" w:hAnsi="Times New Roman" w:eastAsia="仿宋_GB2312" w:cs="Times New Roman"/>
          <w:b w:val="0"/>
          <w:bCs w:val="0"/>
          <w:color w:val="auto"/>
          <w:lang w:val="en-US"/>
        </w:rPr>
        <w:t>空间</w:t>
      </w:r>
      <w:r>
        <w:rPr>
          <w:rFonts w:hint="default" w:ascii="Times New Roman" w:hAnsi="Times New Roman" w:cs="Times New Roman"/>
          <w:b w:val="0"/>
          <w:bCs w:val="0"/>
          <w:color w:val="auto"/>
          <w:lang w:val="en-US" w:eastAsia="zh-CN"/>
        </w:rPr>
        <w:t>。</w:t>
      </w: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我市服务业在迎来良好机遇的同时，也面临诸多挑战：</w:t>
      </w:r>
      <w:r>
        <w:rPr>
          <w:rFonts w:hint="default" w:ascii="Times New Roman" w:hAnsi="Times New Roman" w:eastAsia="仿宋_GB2312" w:cs="Times New Roman"/>
          <w:b/>
          <w:bCs/>
          <w:color w:val="auto"/>
          <w:lang w:val="en-US" w:eastAsia="zh-CN"/>
        </w:rPr>
        <w:t>一是</w:t>
      </w:r>
      <w:r>
        <w:rPr>
          <w:rFonts w:hint="default" w:ascii="Times New Roman" w:hAnsi="Times New Roman" w:eastAsia="仿宋_GB2312" w:cs="Times New Roman"/>
          <w:b/>
          <w:bCs/>
          <w:color w:val="auto"/>
          <w:lang w:val="en-US"/>
        </w:rPr>
        <w:t>转型发展</w:t>
      </w:r>
      <w:r>
        <w:rPr>
          <w:rFonts w:hint="default" w:ascii="Times New Roman" w:hAnsi="Times New Roman" w:eastAsia="仿宋_GB2312" w:cs="Times New Roman"/>
          <w:b/>
          <w:bCs/>
          <w:color w:val="auto"/>
          <w:lang w:val="en-US" w:eastAsia="zh-CN"/>
        </w:rPr>
        <w:t>任务艰巨</w:t>
      </w:r>
      <w:r>
        <w:rPr>
          <w:rFonts w:hint="default" w:ascii="Times New Roman" w:hAnsi="Times New Roman" w:cs="Times New Roman"/>
          <w:b/>
          <w:bCs/>
          <w:color w:val="auto"/>
          <w:lang w:val="en-US" w:eastAsia="zh-CN"/>
        </w:rPr>
        <w:t>。</w:t>
      </w:r>
      <w:r>
        <w:rPr>
          <w:rFonts w:hint="default" w:ascii="Times New Roman" w:hAnsi="Times New Roman" w:eastAsia="仿宋_GB2312" w:cs="Times New Roman"/>
          <w:color w:val="auto"/>
          <w:lang w:val="en-US"/>
        </w:rPr>
        <w:t>受新冠肺炎疫情影响，</w:t>
      </w:r>
      <w:r>
        <w:rPr>
          <w:rFonts w:hint="default" w:ascii="Times New Roman" w:hAnsi="Times New Roman" w:eastAsia="仿宋_GB2312" w:cs="Times New Roman"/>
          <w:color w:val="auto"/>
        </w:rPr>
        <w:t>经济增长速度趋缓，</w:t>
      </w:r>
      <w:r>
        <w:rPr>
          <w:rFonts w:hint="default" w:ascii="Times New Roman" w:hAnsi="Times New Roman" w:eastAsia="仿宋_GB2312" w:cs="Times New Roman"/>
          <w:color w:val="auto"/>
          <w:lang w:eastAsia="zh-CN"/>
        </w:rPr>
        <w:t>企业</w:t>
      </w:r>
      <w:r>
        <w:rPr>
          <w:rFonts w:hint="default" w:ascii="Times New Roman" w:hAnsi="Times New Roman" w:eastAsia="仿宋_GB2312" w:cs="Times New Roman"/>
          <w:color w:val="auto"/>
        </w:rPr>
        <w:t>经营成本上升</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产业转型升级过程中深层次的矛盾、困难、问题</w:t>
      </w:r>
      <w:r>
        <w:rPr>
          <w:rFonts w:hint="default" w:ascii="Times New Roman" w:hAnsi="Times New Roman" w:cs="Times New Roman"/>
          <w:color w:val="auto"/>
          <w:lang w:eastAsia="zh-CN"/>
        </w:rPr>
        <w:t>凸显</w:t>
      </w:r>
      <w:r>
        <w:rPr>
          <w:rFonts w:hint="default" w:ascii="Times New Roman" w:hAnsi="Times New Roman" w:eastAsia="仿宋_GB2312" w:cs="Times New Roman"/>
          <w:color w:val="auto"/>
        </w:rPr>
        <w:t>，服务业</w:t>
      </w:r>
      <w:r>
        <w:rPr>
          <w:rFonts w:hint="default" w:ascii="Times New Roman" w:hAnsi="Times New Roman" w:cs="Times New Roman"/>
          <w:color w:val="auto"/>
          <w:lang w:eastAsia="zh-CN"/>
        </w:rPr>
        <w:t>增强</w:t>
      </w:r>
      <w:r>
        <w:rPr>
          <w:rFonts w:hint="default" w:ascii="Times New Roman" w:hAnsi="Times New Roman" w:eastAsia="仿宋_GB2312" w:cs="Times New Roman"/>
          <w:color w:val="auto"/>
        </w:rPr>
        <w:t>内生动力</w:t>
      </w:r>
      <w:r>
        <w:rPr>
          <w:rFonts w:hint="default" w:ascii="Times New Roman" w:hAnsi="Times New Roman" w:cs="Times New Roman"/>
          <w:color w:val="auto"/>
          <w:lang w:eastAsia="zh-CN"/>
        </w:rPr>
        <w:t>、</w:t>
      </w:r>
      <w:r>
        <w:rPr>
          <w:rFonts w:hint="default" w:ascii="Times New Roman" w:hAnsi="Times New Roman" w:eastAsia="仿宋_GB2312" w:cs="Times New Roman"/>
          <w:color w:val="auto"/>
          <w:lang w:val="en-US"/>
        </w:rPr>
        <w:t>转型发展</w:t>
      </w:r>
      <w:r>
        <w:rPr>
          <w:rFonts w:hint="default" w:ascii="Times New Roman" w:hAnsi="Times New Roman" w:eastAsia="仿宋_GB2312" w:cs="Times New Roman"/>
          <w:color w:val="auto"/>
        </w:rPr>
        <w:t>任务艰巨。</w:t>
      </w:r>
      <w:r>
        <w:rPr>
          <w:rFonts w:hint="default" w:ascii="Times New Roman" w:hAnsi="Times New Roman" w:cs="Times New Roman"/>
          <w:b/>
          <w:bCs/>
          <w:color w:val="auto"/>
          <w:lang w:eastAsia="zh-CN"/>
        </w:rPr>
        <w:t>二是</w:t>
      </w:r>
      <w:r>
        <w:rPr>
          <w:rFonts w:hint="default" w:ascii="Times New Roman" w:hAnsi="Times New Roman" w:eastAsia="仿宋_GB2312" w:cs="Times New Roman"/>
          <w:b/>
          <w:bCs/>
          <w:color w:val="auto"/>
          <w:lang w:val="en-US" w:eastAsia="zh-CN"/>
        </w:rPr>
        <w:t>创新</w:t>
      </w:r>
      <w:r>
        <w:rPr>
          <w:rFonts w:hint="default" w:ascii="Times New Roman" w:hAnsi="Times New Roman" w:cs="Times New Roman"/>
          <w:b/>
          <w:bCs/>
          <w:color w:val="auto"/>
          <w:lang w:val="en-US" w:eastAsia="zh-CN"/>
        </w:rPr>
        <w:t>带动</w:t>
      </w:r>
      <w:r>
        <w:rPr>
          <w:rFonts w:hint="default" w:ascii="Times New Roman" w:hAnsi="Times New Roman" w:eastAsia="仿宋_GB2312" w:cs="Times New Roman"/>
          <w:b/>
          <w:bCs/>
          <w:color w:val="auto"/>
          <w:lang w:eastAsia="zh-CN"/>
        </w:rPr>
        <w:t>亟需加强</w:t>
      </w:r>
      <w:r>
        <w:rPr>
          <w:rFonts w:hint="default" w:ascii="Times New Roman" w:hAnsi="Times New Roman" w:cs="Times New Roman"/>
          <w:b/>
          <w:bCs/>
          <w:color w:val="auto"/>
          <w:lang w:eastAsia="zh-CN"/>
        </w:rPr>
        <w:t>，</w:t>
      </w:r>
      <w:r>
        <w:rPr>
          <w:rFonts w:hint="default" w:ascii="Times New Roman" w:hAnsi="Times New Roman" w:eastAsia="仿宋_GB2312" w:cs="Times New Roman"/>
          <w:color w:val="auto"/>
        </w:rPr>
        <w:t>20</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lang w:eastAsia="zh-CN"/>
        </w:rPr>
        <w:t>我</w:t>
      </w:r>
      <w:r>
        <w:rPr>
          <w:rFonts w:hint="default" w:ascii="Times New Roman" w:hAnsi="Times New Roman" w:eastAsia="仿宋_GB2312" w:cs="Times New Roman"/>
          <w:color w:val="auto"/>
        </w:rPr>
        <w:t>市研发投入强度低于全省1.</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个百分点，科技投入不足</w:t>
      </w:r>
      <w:r>
        <w:rPr>
          <w:rFonts w:hint="default" w:ascii="Times New Roman" w:hAnsi="Times New Roman" w:cs="Times New Roman"/>
          <w:color w:val="auto"/>
          <w:lang w:eastAsia="zh-CN"/>
        </w:rPr>
        <w:t>严重</w:t>
      </w:r>
      <w:r>
        <w:rPr>
          <w:rFonts w:hint="default" w:ascii="Times New Roman" w:hAnsi="Times New Roman" w:eastAsia="仿宋_GB2312" w:cs="Times New Roman"/>
          <w:color w:val="auto"/>
        </w:rPr>
        <w:t>制约了</w:t>
      </w:r>
      <w:r>
        <w:rPr>
          <w:rFonts w:hint="default" w:ascii="Times New Roman" w:hAnsi="Times New Roman" w:eastAsia="仿宋_GB2312" w:cs="Times New Roman"/>
          <w:color w:val="auto"/>
          <w:lang w:val="en-US" w:eastAsia="zh-CN"/>
        </w:rPr>
        <w:t>新产业</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新业态</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新模式</w:t>
      </w:r>
      <w:r>
        <w:rPr>
          <w:rFonts w:hint="default" w:ascii="Times New Roman" w:hAnsi="Times New Roman" w:cs="Times New Roman"/>
          <w:color w:val="auto"/>
          <w:lang w:val="en-US" w:eastAsia="zh-CN"/>
        </w:rPr>
        <w:t>的</w:t>
      </w:r>
      <w:r>
        <w:rPr>
          <w:rFonts w:hint="default" w:ascii="Times New Roman" w:hAnsi="Times New Roman" w:eastAsia="仿宋_GB2312" w:cs="Times New Roman"/>
          <w:color w:val="auto"/>
          <w:lang w:eastAsia="zh-CN"/>
        </w:rPr>
        <w:t>发展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龙头企业带动力不足，品牌、标准化建设仍需加强</w:t>
      </w:r>
      <w:r>
        <w:rPr>
          <w:rFonts w:hint="default" w:ascii="Times New Roman" w:hAnsi="Times New Roman" w:eastAsia="仿宋_GB2312" w:cs="Times New Roman"/>
          <w:color w:val="auto"/>
        </w:rPr>
        <w:t>。</w:t>
      </w:r>
      <w:r>
        <w:rPr>
          <w:rFonts w:hint="default" w:ascii="Times New Roman" w:hAnsi="Times New Roman" w:cs="Times New Roman"/>
          <w:b/>
          <w:bCs/>
          <w:color w:val="auto"/>
          <w:lang w:eastAsia="zh-CN"/>
        </w:rPr>
        <w:t>三是</w:t>
      </w:r>
      <w:r>
        <w:rPr>
          <w:rFonts w:hint="default" w:ascii="Times New Roman" w:hAnsi="Times New Roman" w:eastAsia="仿宋_GB2312" w:cs="Times New Roman"/>
          <w:b/>
          <w:bCs/>
          <w:color w:val="auto"/>
          <w:lang w:val="en-US" w:eastAsia="zh-CN"/>
        </w:rPr>
        <w:t>集聚</w:t>
      </w:r>
      <w:r>
        <w:rPr>
          <w:rFonts w:hint="default" w:ascii="Times New Roman" w:hAnsi="Times New Roman" w:cs="Times New Roman"/>
          <w:b/>
          <w:bCs/>
          <w:color w:val="auto"/>
          <w:lang w:val="en-US" w:eastAsia="zh-CN"/>
        </w:rPr>
        <w:t>融合亟待提高，</w:t>
      </w:r>
      <w:r>
        <w:rPr>
          <w:rFonts w:hint="default" w:ascii="Times New Roman" w:hAnsi="Times New Roman" w:eastAsia="仿宋_GB2312" w:cs="Times New Roman"/>
          <w:color w:val="auto"/>
          <w:lang w:val="en-US" w:eastAsia="zh-CN"/>
        </w:rPr>
        <w:t>服务业集聚区规模相对较小</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要素集聚能力</w:t>
      </w:r>
      <w:r>
        <w:rPr>
          <w:rFonts w:hint="default" w:ascii="Times New Roman" w:hAnsi="Times New Roman" w:cs="Times New Roman"/>
          <w:color w:val="auto"/>
          <w:lang w:val="en-US" w:eastAsia="zh-CN"/>
        </w:rPr>
        <w:t>亟需增强，先进制造业与现代服务业融合深度不够，</w:t>
      </w:r>
      <w:r>
        <w:rPr>
          <w:rFonts w:hint="default" w:ascii="Times New Roman" w:hAnsi="Times New Roman" w:eastAsia="仿宋_GB2312" w:cs="Times New Roman"/>
          <w:color w:val="auto"/>
          <w:lang w:val="en-US" w:eastAsia="zh-CN"/>
        </w:rPr>
        <w:t>服务业对制造业的支撑能力有待提升</w:t>
      </w:r>
      <w:r>
        <w:rPr>
          <w:rFonts w:hint="default" w:ascii="Times New Roman" w:hAnsi="Times New Roman" w:cs="Times New Roman"/>
          <w:color w:val="auto"/>
          <w:lang w:val="en-US" w:eastAsia="zh-CN"/>
        </w:rPr>
        <w:t>。</w:t>
      </w:r>
      <w:r>
        <w:rPr>
          <w:rFonts w:hint="default" w:ascii="Times New Roman" w:hAnsi="Times New Roman" w:cs="Times New Roman"/>
          <w:b/>
          <w:bCs/>
          <w:color w:val="auto"/>
          <w:lang w:val="en-US" w:eastAsia="zh-CN"/>
        </w:rPr>
        <w:t>四是协同机制亟需完善，</w:t>
      </w:r>
      <w:r>
        <w:rPr>
          <w:rFonts w:hint="default" w:ascii="Times New Roman" w:hAnsi="Times New Roman" w:cs="Times New Roman"/>
          <w:b w:val="0"/>
          <w:bCs w:val="0"/>
          <w:color w:val="auto"/>
          <w:lang w:val="en-US" w:eastAsia="zh-CN"/>
        </w:rPr>
        <w:t>与省内外周边地区协同发展的同时，</w:t>
      </w:r>
      <w:r>
        <w:rPr>
          <w:rFonts w:hint="default" w:ascii="Times New Roman" w:hAnsi="Times New Roman" w:eastAsia="仿宋_GB2312" w:cs="Times New Roman"/>
          <w:b w:val="0"/>
          <w:bCs w:val="0"/>
          <w:color w:val="auto"/>
        </w:rPr>
        <w:t>区</w:t>
      </w:r>
      <w:r>
        <w:rPr>
          <w:rFonts w:hint="default" w:ascii="Times New Roman" w:hAnsi="Times New Roman" w:eastAsia="仿宋_GB2312" w:cs="Times New Roman"/>
          <w:color w:val="auto"/>
        </w:rPr>
        <w:t>域间围绕技术、人才、市场、资源的竞争</w:t>
      </w:r>
      <w:r>
        <w:rPr>
          <w:rFonts w:hint="default" w:ascii="Times New Roman" w:hAnsi="Times New Roman" w:cs="Times New Roman"/>
          <w:color w:val="auto"/>
          <w:lang w:eastAsia="zh-CN"/>
        </w:rPr>
        <w:t>白热化，</w:t>
      </w:r>
      <w:r>
        <w:rPr>
          <w:rFonts w:hint="default" w:ascii="Times New Roman" w:hAnsi="Times New Roman" w:eastAsia="仿宋_GB2312" w:cs="Times New Roman"/>
          <w:color w:val="auto"/>
          <w:lang w:val="en-US" w:eastAsia="zh-CN"/>
        </w:rPr>
        <w:t>跨区域服务业协同发展机制仍需</w:t>
      </w:r>
      <w:r>
        <w:rPr>
          <w:rFonts w:hint="default" w:ascii="Times New Roman" w:hAnsi="Times New Roman" w:cs="Times New Roman"/>
          <w:color w:val="auto"/>
          <w:lang w:val="en-US" w:eastAsia="zh-CN"/>
        </w:rPr>
        <w:t>完善</w:t>
      </w:r>
      <w:r>
        <w:rPr>
          <w:rFonts w:hint="default" w:ascii="Times New Roman" w:hAnsi="Times New Roman" w:eastAsia="仿宋_GB2312" w:cs="Times New Roman"/>
          <w:color w:val="auto"/>
        </w:rPr>
        <w:t>。</w:t>
      </w:r>
      <w:r>
        <w:rPr>
          <w:rFonts w:hint="default" w:ascii="Times New Roman" w:hAnsi="Times New Roman" w:cs="Times New Roman"/>
          <w:b/>
          <w:bCs/>
          <w:color w:val="auto"/>
          <w:lang w:eastAsia="zh-CN"/>
        </w:rPr>
        <w:t>五是</w:t>
      </w:r>
      <w:r>
        <w:rPr>
          <w:rFonts w:hint="default" w:ascii="Times New Roman" w:hAnsi="Times New Roman" w:eastAsia="仿宋_GB2312" w:cs="Times New Roman"/>
          <w:b/>
          <w:bCs/>
          <w:color w:val="auto"/>
          <w:lang w:val="en-US" w:eastAsia="zh-CN"/>
        </w:rPr>
        <w:t>要素支撑</w:t>
      </w:r>
      <w:r>
        <w:rPr>
          <w:rFonts w:hint="default" w:ascii="Times New Roman" w:hAnsi="Times New Roman" w:cs="Times New Roman"/>
          <w:b/>
          <w:bCs/>
          <w:color w:val="auto"/>
          <w:lang w:val="en-US" w:eastAsia="zh-CN"/>
        </w:rPr>
        <w:t>有待加强，</w:t>
      </w:r>
      <w:r>
        <w:rPr>
          <w:rFonts w:hint="default" w:ascii="Times New Roman" w:hAnsi="Times New Roman" w:cs="Times New Roman"/>
          <w:color w:val="auto"/>
          <w:lang w:val="en-US" w:eastAsia="zh-CN"/>
        </w:rPr>
        <w:t>服务业</w:t>
      </w:r>
      <w:r>
        <w:rPr>
          <w:rFonts w:hint="default" w:ascii="Times New Roman" w:hAnsi="Times New Roman" w:eastAsia="仿宋_GB2312" w:cs="Times New Roman"/>
          <w:color w:val="auto"/>
          <w:lang w:val="en-US" w:eastAsia="zh-CN"/>
        </w:rPr>
        <w:t>物流</w:t>
      </w:r>
      <w:r>
        <w:rPr>
          <w:rFonts w:hint="default" w:ascii="Times New Roman" w:hAnsi="Times New Roman" w:cs="Times New Roman"/>
          <w:color w:val="auto"/>
          <w:lang w:val="en-US" w:eastAsia="zh-CN"/>
        </w:rPr>
        <w:t>等</w:t>
      </w:r>
      <w:r>
        <w:rPr>
          <w:rFonts w:hint="default" w:ascii="Times New Roman" w:hAnsi="Times New Roman" w:eastAsia="仿宋_GB2312" w:cs="Times New Roman"/>
          <w:color w:val="auto"/>
          <w:lang w:val="en-US" w:eastAsia="zh-CN"/>
        </w:rPr>
        <w:t>领域土地供需矛盾突出，适应服务业特点的金融产品和服务供给不足，技术、数据等要素市场亟待培育，地方财力有限对服务业</w:t>
      </w:r>
      <w:r>
        <w:rPr>
          <w:rFonts w:hint="default" w:ascii="Times New Roman" w:hAnsi="Times New Roman" w:cs="Times New Roman"/>
          <w:color w:val="auto"/>
          <w:lang w:val="en-US" w:eastAsia="zh-CN"/>
        </w:rPr>
        <w:t>支撑</w:t>
      </w:r>
      <w:r>
        <w:rPr>
          <w:rFonts w:hint="default" w:ascii="Times New Roman" w:hAnsi="Times New Roman" w:eastAsia="仿宋_GB2312" w:cs="Times New Roman"/>
          <w:color w:val="auto"/>
          <w:lang w:val="en-US" w:eastAsia="zh-CN"/>
        </w:rPr>
        <w:t>作用不强，人才等高端要素面临周边</w:t>
      </w:r>
      <w:r>
        <w:rPr>
          <w:rFonts w:hint="default" w:ascii="Times New Roman" w:hAnsi="Times New Roman" w:cs="Times New Roman"/>
          <w:color w:val="auto"/>
          <w:lang w:val="en-US" w:eastAsia="zh-CN"/>
        </w:rPr>
        <w:t>地区</w:t>
      </w:r>
      <w:r>
        <w:rPr>
          <w:rFonts w:hint="default" w:ascii="Times New Roman" w:hAnsi="Times New Roman" w:eastAsia="仿宋_GB2312" w:cs="Times New Roman"/>
          <w:color w:val="auto"/>
          <w:lang w:val="en-US" w:eastAsia="zh-CN"/>
        </w:rPr>
        <w:t>虹吸挑战。</w:t>
      </w:r>
      <w:bookmarkEnd w:id="4"/>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3"/>
        <w:pageBreakBefore w:val="0"/>
        <w:kinsoku/>
        <w:wordWrap/>
        <w:overflowPunct/>
        <w:topLinePunct w:val="0"/>
        <w:bidi w:val="0"/>
        <w:adjustRightInd/>
        <w:snapToGrid/>
        <w:spacing w:before="312" w:after="312" w:line="600" w:lineRule="exact"/>
        <w:textAlignment w:val="auto"/>
        <w:rPr>
          <w:rFonts w:hint="default" w:ascii="Times New Roman" w:hAnsi="Times New Roman" w:eastAsia="黑体" w:cs="Times New Roman"/>
          <w:color w:val="auto"/>
          <w:szCs w:val="32"/>
          <w:highlight w:val="none"/>
          <w:lang w:val="en-US" w:eastAsia="zh-CN" w:bidi="ar-SA"/>
        </w:rPr>
      </w:pPr>
      <w:bookmarkStart w:id="6" w:name="_Toc79124374"/>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"_bookmark2"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val="en-US" w:eastAsia="zh-CN"/>
        </w:rPr>
        <w:t>二、总</w:t>
      </w:r>
      <w:r>
        <w:rPr>
          <w:rFonts w:hint="default" w:ascii="Times New Roman" w:hAnsi="Times New Roman" w:cs="Times New Roman"/>
          <w:color w:val="auto"/>
          <w:highlight w:val="none"/>
          <w:lang w:val="en-US"/>
        </w:rPr>
        <w:fldChar w:fldCharType="end"/>
      </w:r>
      <w:r>
        <w:rPr>
          <w:rFonts w:hint="default" w:ascii="Times New Roman" w:hAnsi="Times New Roman" w:cs="Times New Roman"/>
          <w:color w:val="auto"/>
          <w:highlight w:val="none"/>
          <w:lang w:val="en-US" w:eastAsia="zh-CN"/>
        </w:rPr>
        <w:t>体思路</w:t>
      </w:r>
      <w:bookmarkEnd w:id="6"/>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7" w:name="_Toc214467937"/>
      <w:r>
        <w:rPr>
          <w:rFonts w:hint="default" w:ascii="Times New Roman" w:hAnsi="Times New Roman" w:eastAsia="方正楷体_GBK" w:cs="Times New Roman"/>
          <w:b/>
          <w:bCs/>
          <w:color w:val="auto"/>
          <w:lang w:val="en-US" w:eastAsia="zh-CN"/>
        </w:rPr>
        <w:fldChar w:fldCharType="begin"/>
      </w:r>
      <w:r>
        <w:rPr>
          <w:rFonts w:hint="default" w:ascii="Times New Roman" w:hAnsi="Times New Roman" w:eastAsia="方正楷体_GBK" w:cs="Times New Roman"/>
          <w:b/>
          <w:bCs/>
          <w:color w:val="auto"/>
          <w:lang w:val="en-US" w:eastAsia="zh-CN"/>
        </w:rPr>
        <w:instrText xml:space="preserve"> HYPERLINK \l "_bookmark3" </w:instrText>
      </w:r>
      <w:r>
        <w:rPr>
          <w:rFonts w:hint="default" w:ascii="Times New Roman" w:hAnsi="Times New Roman" w:eastAsia="方正楷体_GBK" w:cs="Times New Roman"/>
          <w:b/>
          <w:bCs/>
          <w:color w:val="auto"/>
          <w:lang w:val="en-US" w:eastAsia="zh-CN"/>
        </w:rPr>
        <w:fldChar w:fldCharType="separate"/>
      </w:r>
      <w:r>
        <w:rPr>
          <w:rFonts w:hint="default" w:ascii="Times New Roman" w:hAnsi="Times New Roman" w:eastAsia="方正楷体_GBK" w:cs="Times New Roman"/>
          <w:b/>
          <w:bCs/>
          <w:color w:val="auto"/>
          <w:lang w:val="en-US" w:eastAsia="zh-CN"/>
        </w:rPr>
        <w:t>（一）指导思想</w:t>
      </w:r>
      <w:r>
        <w:rPr>
          <w:rFonts w:hint="default" w:ascii="Times New Roman" w:hAnsi="Times New Roman" w:eastAsia="方正楷体_GBK" w:cs="Times New Roman"/>
          <w:b/>
          <w:bCs/>
          <w:color w:val="auto"/>
          <w:lang w:val="en-US" w:eastAsia="zh-CN"/>
        </w:rPr>
        <w:fldChar w:fldCharType="end"/>
      </w:r>
      <w:bookmarkEnd w:id="7"/>
    </w:p>
    <w:p>
      <w:pPr>
        <w:pageBreakBefore w:val="0"/>
        <w:kinsoku/>
        <w:wordWrap/>
        <w:overflowPunct/>
        <w:topLinePunct w:val="0"/>
        <w:bidi w:val="0"/>
        <w:adjustRightInd/>
        <w:snapToGrid/>
        <w:spacing w:line="600" w:lineRule="exact"/>
        <w:ind w:firstLine="640"/>
        <w:textAlignment w:val="auto"/>
        <w:rPr>
          <w:rFonts w:hint="default" w:ascii="Times New Roman" w:hAnsi="Times New Roman" w:cs="Times New Roman"/>
          <w:color w:val="auto"/>
          <w:lang w:val="en-US"/>
        </w:rPr>
      </w:pPr>
      <w:r>
        <w:rPr>
          <w:rFonts w:hint="default" w:ascii="Times New Roman" w:hAnsi="Times New Roman" w:cs="Times New Roman"/>
          <w:color w:val="auto"/>
          <w:lang w:val="en-US"/>
        </w:rPr>
        <w:t>坚定不移地以习近平新时代中国特色社会主义思想为指导，深入贯彻落实党的十九大和十九届二中、三中、四中、五中</w:t>
      </w:r>
      <w:r>
        <w:rPr>
          <w:rFonts w:hint="default" w:ascii="Times New Roman" w:hAnsi="Times New Roman" w:cs="Times New Roman"/>
          <w:color w:val="auto"/>
          <w:lang w:val="en-US" w:eastAsia="zh-CN"/>
        </w:rPr>
        <w:t>、六中</w:t>
      </w:r>
      <w:r>
        <w:rPr>
          <w:rFonts w:hint="default" w:ascii="Times New Roman" w:hAnsi="Times New Roman" w:cs="Times New Roman"/>
          <w:color w:val="auto"/>
          <w:lang w:val="en-US"/>
        </w:rPr>
        <w:t>全会精神，</w:t>
      </w:r>
      <w:r>
        <w:rPr>
          <w:rFonts w:hint="default" w:ascii="Times New Roman" w:hAnsi="Times New Roman" w:cs="Times New Roman"/>
          <w:color w:val="auto"/>
          <w:lang w:val="en-US" w:eastAsia="zh-CN"/>
        </w:rPr>
        <w:t>认真贯彻落实习近平总书记考察安徽重要讲话指示精神，</w:t>
      </w:r>
      <w:r>
        <w:rPr>
          <w:rFonts w:hint="default" w:ascii="Times New Roman" w:hAnsi="Times New Roman" w:cs="Times New Roman"/>
          <w:color w:val="auto"/>
          <w:lang w:val="en-US"/>
        </w:rPr>
        <w:t>坚持稳中求进工作总基调，坚持新发展理念，沉着有力应对各种风险挑战，统筹新冠肺炎疫情防控和经济社会发展工作，坚持推进高质量发展，抢抓长三角一体化和淮河生态经济带等国家发展战略，把握扩大内需战略基点，以供给侧结构性改革为主线，以促进实体经济转型升级为导向，坚持现代服务业与先进制造业并举，坚持满足需求和引导消费并重，推动生产性服务业向专业化和价值链高端延伸，推动生活性服务业向高品质和多样化升级，力争形成全域协同、融合共享、功能完备、品牌彰显的服务业发展体系，为“十四五”经济社会高质量发展作出</w:t>
      </w:r>
      <w:r>
        <w:rPr>
          <w:rFonts w:hint="default" w:ascii="Times New Roman" w:hAnsi="Times New Roman" w:cs="Times New Roman"/>
          <w:color w:val="auto"/>
          <w:lang w:val="en-US" w:eastAsia="zh-CN"/>
        </w:rPr>
        <w:t>更大</w:t>
      </w:r>
      <w:r>
        <w:rPr>
          <w:rFonts w:hint="default" w:ascii="Times New Roman" w:hAnsi="Times New Roman" w:cs="Times New Roman"/>
          <w:color w:val="auto"/>
          <w:lang w:val="en-US"/>
        </w:rPr>
        <w:t>贡献。</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8" w:name="_Toc744853598"/>
      <w:r>
        <w:rPr>
          <w:rFonts w:hint="default" w:ascii="Times New Roman" w:hAnsi="Times New Roman" w:eastAsia="方正楷体_GBK" w:cs="Times New Roman"/>
          <w:b/>
          <w:bCs/>
          <w:color w:val="auto"/>
          <w:lang w:val="en-US" w:eastAsia="zh-CN"/>
        </w:rPr>
        <w:fldChar w:fldCharType="begin"/>
      </w:r>
      <w:r>
        <w:rPr>
          <w:rFonts w:hint="default" w:ascii="Times New Roman" w:hAnsi="Times New Roman" w:eastAsia="方正楷体_GBK" w:cs="Times New Roman"/>
          <w:b/>
          <w:bCs/>
          <w:color w:val="auto"/>
          <w:lang w:val="en-US" w:eastAsia="zh-CN"/>
        </w:rPr>
        <w:instrText xml:space="preserve"> HYPERLINK \l "_bookmark4" </w:instrText>
      </w:r>
      <w:r>
        <w:rPr>
          <w:rFonts w:hint="default" w:ascii="Times New Roman" w:hAnsi="Times New Roman" w:eastAsia="方正楷体_GBK" w:cs="Times New Roman"/>
          <w:b/>
          <w:bCs/>
          <w:color w:val="auto"/>
          <w:lang w:val="en-US" w:eastAsia="zh-CN"/>
        </w:rPr>
        <w:fldChar w:fldCharType="separate"/>
      </w:r>
      <w:r>
        <w:rPr>
          <w:rFonts w:hint="default" w:ascii="Times New Roman" w:hAnsi="Times New Roman" w:eastAsia="方正楷体_GBK" w:cs="Times New Roman"/>
          <w:b/>
          <w:bCs/>
          <w:color w:val="auto"/>
          <w:lang w:val="en-US" w:eastAsia="zh-CN"/>
        </w:rPr>
        <w:t>（二）发展原则</w:t>
      </w:r>
      <w:r>
        <w:rPr>
          <w:rFonts w:hint="default" w:ascii="Times New Roman" w:hAnsi="Times New Roman" w:eastAsia="方正楷体_GBK" w:cs="Times New Roman"/>
          <w:b/>
          <w:bCs/>
          <w:color w:val="auto"/>
          <w:lang w:val="en-US" w:eastAsia="zh-CN"/>
        </w:rPr>
        <w:fldChar w:fldCharType="end"/>
      </w:r>
      <w:bookmarkEnd w:id="8"/>
    </w:p>
    <w:p>
      <w:pPr>
        <w:pageBreakBefore w:val="0"/>
        <w:kinsoku/>
        <w:wordWrap/>
        <w:overflowPunct/>
        <w:topLinePunct w:val="0"/>
        <w:bidi w:val="0"/>
        <w:adjustRightInd/>
        <w:snapToGrid/>
        <w:spacing w:line="600" w:lineRule="exact"/>
        <w:ind w:firstLine="643"/>
        <w:textAlignment w:val="auto"/>
        <w:rPr>
          <w:rFonts w:hint="default" w:ascii="Times New Roman" w:hAnsi="Times New Roman" w:cs="Times New Roman"/>
          <w:color w:val="auto"/>
        </w:rPr>
      </w:pPr>
      <w:r>
        <w:rPr>
          <w:rFonts w:hint="default" w:ascii="Times New Roman" w:hAnsi="Times New Roman" w:cs="Times New Roman"/>
          <w:b/>
          <w:bCs/>
          <w:color w:val="auto"/>
        </w:rPr>
        <w:t>政府统筹引导，</w:t>
      </w:r>
      <w:r>
        <w:rPr>
          <w:rFonts w:hint="default" w:ascii="Times New Roman" w:hAnsi="Times New Roman" w:cs="Times New Roman"/>
          <w:b/>
          <w:bCs/>
          <w:color w:val="auto"/>
          <w:lang w:val="en-US"/>
        </w:rPr>
        <w:t>激发市场活力</w:t>
      </w:r>
      <w:r>
        <w:rPr>
          <w:rFonts w:hint="default" w:ascii="Times New Roman" w:hAnsi="Times New Roman" w:cs="Times New Roman"/>
          <w:b/>
          <w:bCs/>
          <w:color w:val="auto"/>
        </w:rPr>
        <w:t>。</w:t>
      </w:r>
      <w:r>
        <w:rPr>
          <w:rFonts w:hint="default" w:ascii="Times New Roman" w:hAnsi="Times New Roman" w:cs="Times New Roman"/>
          <w:color w:val="auto"/>
          <w:lang w:val="en-US"/>
        </w:rPr>
        <w:t>顺应新时代发展潮流，</w:t>
      </w:r>
      <w:r>
        <w:rPr>
          <w:rFonts w:hint="default" w:ascii="Times New Roman" w:hAnsi="Times New Roman" w:cs="Times New Roman"/>
          <w:color w:val="auto"/>
        </w:rPr>
        <w:t>充分发挥市场在资源配置中的决定性作用，更好发挥政府对服务业发展的统筹引导作用，促进市场公平竞争，强化企业市场主体地位，促进资源要素合理集聚，激发市场活力和社会创造力，营造市场主体良性互动、要素资源高效利用的服务业发展环境。</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cs="Times New Roman"/>
          <w:color w:val="auto"/>
        </w:rPr>
      </w:pPr>
      <w:r>
        <w:rPr>
          <w:rFonts w:hint="default" w:ascii="Times New Roman" w:hAnsi="Times New Roman" w:cs="Times New Roman"/>
          <w:b/>
          <w:bCs/>
          <w:color w:val="auto"/>
        </w:rPr>
        <w:t>提升发展标杆，谋求跨越突破。</w:t>
      </w:r>
      <w:r>
        <w:rPr>
          <w:rFonts w:hint="default" w:ascii="Times New Roman" w:hAnsi="Times New Roman" w:cs="Times New Roman"/>
          <w:color w:val="auto"/>
        </w:rPr>
        <w:t>坚持高质量发展要求</w:t>
      </w:r>
      <w:r>
        <w:rPr>
          <w:rFonts w:hint="default" w:ascii="Times New Roman" w:hAnsi="Times New Roman" w:cs="Times New Roman"/>
          <w:color w:val="auto"/>
          <w:lang w:eastAsia="zh-CN"/>
        </w:rPr>
        <w:t>，</w:t>
      </w:r>
      <w:r>
        <w:rPr>
          <w:rFonts w:hint="default" w:ascii="Times New Roman" w:hAnsi="Times New Roman" w:cs="Times New Roman"/>
          <w:color w:val="auto"/>
        </w:rPr>
        <w:t>主动对标长三角</w:t>
      </w:r>
      <w:r>
        <w:rPr>
          <w:rFonts w:hint="default" w:ascii="Times New Roman" w:hAnsi="Times New Roman" w:cs="Times New Roman"/>
          <w:color w:val="auto"/>
          <w:lang w:val="en-US"/>
        </w:rPr>
        <w:t>先进城市，找差距、定目标、强措施、抓落实，以更强的决心、更大的力度、更实的举措，聚焦薄弱环节，突出工作重点，着力补齐短板，疾步追赶、奋力超越，</w:t>
      </w:r>
      <w:r>
        <w:rPr>
          <w:rFonts w:hint="default" w:ascii="Times New Roman" w:hAnsi="Times New Roman" w:cs="Times New Roman"/>
          <w:color w:val="auto"/>
        </w:rPr>
        <w:t>以更高起点、更高标准</w:t>
      </w:r>
      <w:r>
        <w:rPr>
          <w:rFonts w:hint="default" w:ascii="Times New Roman" w:hAnsi="Times New Roman" w:cs="Times New Roman"/>
          <w:color w:val="auto"/>
          <w:lang w:val="en-US"/>
        </w:rPr>
        <w:t>切实</w:t>
      </w:r>
      <w:r>
        <w:rPr>
          <w:rFonts w:hint="default" w:ascii="Times New Roman" w:hAnsi="Times New Roman" w:cs="Times New Roman"/>
          <w:color w:val="auto"/>
        </w:rPr>
        <w:t>推进</w:t>
      </w:r>
      <w:r>
        <w:rPr>
          <w:rFonts w:hint="default" w:ascii="Times New Roman" w:hAnsi="Times New Roman" w:cs="Times New Roman"/>
          <w:color w:val="auto"/>
          <w:lang w:val="en-US"/>
        </w:rPr>
        <w:t>服务业快速</w:t>
      </w:r>
      <w:r>
        <w:rPr>
          <w:rFonts w:hint="default" w:ascii="Times New Roman" w:hAnsi="Times New Roman" w:cs="Times New Roman"/>
          <w:color w:val="auto"/>
        </w:rPr>
        <w:t>发展。</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rPr>
      </w:pPr>
      <w:r>
        <w:rPr>
          <w:rFonts w:hint="default" w:ascii="Times New Roman" w:hAnsi="Times New Roman" w:cs="Times New Roman"/>
          <w:b/>
          <w:bCs/>
          <w:color w:val="auto"/>
        </w:rPr>
        <w:t>全面深化改革，推动创新发展。</w:t>
      </w:r>
      <w:r>
        <w:rPr>
          <w:rFonts w:hint="default" w:ascii="Times New Roman" w:hAnsi="Times New Roman" w:cs="Times New Roman"/>
          <w:color w:val="auto"/>
        </w:rPr>
        <w:t>坚持问题导向，把改革创新贯穿于</w:t>
      </w:r>
      <w:r>
        <w:rPr>
          <w:rFonts w:hint="default" w:ascii="Times New Roman" w:hAnsi="Times New Roman" w:cs="Times New Roman"/>
          <w:color w:val="auto"/>
          <w:lang w:val="en-US"/>
        </w:rPr>
        <w:t>服务业</w:t>
      </w:r>
      <w:r>
        <w:rPr>
          <w:rFonts w:hint="default" w:ascii="Times New Roman" w:hAnsi="Times New Roman" w:cs="Times New Roman"/>
          <w:color w:val="auto"/>
        </w:rPr>
        <w:t>发展</w:t>
      </w:r>
      <w:r>
        <w:rPr>
          <w:rFonts w:hint="default" w:ascii="Times New Roman" w:hAnsi="Times New Roman" w:cs="Times New Roman"/>
          <w:color w:val="auto"/>
          <w:lang w:val="en-US"/>
        </w:rPr>
        <w:t>的</w:t>
      </w:r>
      <w:r>
        <w:rPr>
          <w:rFonts w:hint="default" w:ascii="Times New Roman" w:hAnsi="Times New Roman" w:cs="Times New Roman"/>
          <w:color w:val="auto"/>
        </w:rPr>
        <w:t>各个领域各个环节，以改革促发展，以改革助转型，以改革增效益，以改革惠民生，增强发展内生动力，推动服务型</w:t>
      </w:r>
      <w:r>
        <w:rPr>
          <w:rFonts w:hint="default" w:ascii="Times New Roman" w:hAnsi="Times New Roman" w:cs="Times New Roman"/>
          <w:color w:val="auto"/>
          <w:lang w:val="en-US"/>
        </w:rPr>
        <w:t>经济</w:t>
      </w:r>
      <w:r>
        <w:rPr>
          <w:rFonts w:hint="default" w:ascii="Times New Roman" w:hAnsi="Times New Roman" w:cs="Times New Roman"/>
          <w:color w:val="auto"/>
        </w:rPr>
        <w:t>更有效率、更加公平、更可持续发展。</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cs="Times New Roman"/>
          <w:b/>
          <w:bCs/>
          <w:color w:val="auto"/>
          <w:lang w:val="en-US"/>
        </w:rPr>
        <w:t>坚持以人为本，促进融合</w:t>
      </w:r>
      <w:r>
        <w:rPr>
          <w:rFonts w:hint="default" w:ascii="Times New Roman" w:hAnsi="Times New Roman" w:cs="Times New Roman"/>
          <w:b/>
          <w:bCs/>
          <w:color w:val="auto"/>
          <w:lang w:val="en-US" w:eastAsia="zh-CN"/>
        </w:rPr>
        <w:t>发展</w:t>
      </w:r>
      <w:r>
        <w:rPr>
          <w:rFonts w:hint="default" w:ascii="Times New Roman" w:hAnsi="Times New Roman" w:cs="Times New Roman"/>
          <w:b/>
          <w:bCs/>
          <w:color w:val="auto"/>
          <w:lang w:val="en-US"/>
        </w:rPr>
        <w:t>。</w:t>
      </w:r>
      <w:r>
        <w:rPr>
          <w:rFonts w:hint="default" w:ascii="Times New Roman" w:hAnsi="Times New Roman" w:cs="Times New Roman"/>
          <w:b w:val="0"/>
          <w:bCs w:val="0"/>
          <w:color w:val="auto"/>
          <w:lang w:val="en-US" w:eastAsia="zh-CN"/>
        </w:rPr>
        <w:t>坚持以人民为中心的发展思想，加强公益性、基础性服务业供给，</w:t>
      </w:r>
      <w:r>
        <w:rPr>
          <w:rFonts w:hint="default" w:ascii="Times New Roman" w:hAnsi="Times New Roman" w:cs="Times New Roman"/>
          <w:color w:val="auto"/>
          <w:lang w:val="en-US" w:eastAsia="zh-CN"/>
        </w:rPr>
        <w:t>强化</w:t>
      </w:r>
      <w:r>
        <w:rPr>
          <w:rFonts w:hint="default" w:ascii="Times New Roman" w:hAnsi="Times New Roman" w:cs="Times New Roman"/>
          <w:color w:val="auto"/>
          <w:lang w:val="en-US"/>
        </w:rPr>
        <w:t>服务业对城市转型的支撑，提高覆盖城乡的公共服务供给能力和水平</w:t>
      </w:r>
      <w:r>
        <w:rPr>
          <w:rFonts w:hint="default" w:ascii="Times New Roman" w:hAnsi="Times New Roman" w:cs="Times New Roman"/>
          <w:color w:val="auto"/>
          <w:lang w:val="en-US" w:eastAsia="zh-CN"/>
        </w:rPr>
        <w:t>；</w:t>
      </w:r>
      <w:r>
        <w:rPr>
          <w:rFonts w:hint="default" w:ascii="Times New Roman" w:hAnsi="Times New Roman" w:cs="Times New Roman"/>
          <w:color w:val="auto"/>
          <w:lang w:val="en-US"/>
        </w:rPr>
        <w:t>促进服务业与新型工业化、信息化、城镇化和农业现代化融合互动发展，提升城市宜居宜业水平，做到“以产促城，以城兴产，产城人融合”。</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9" w:name="_Toc934907253"/>
      <w:r>
        <w:rPr>
          <w:rFonts w:hint="default" w:ascii="Times New Roman" w:hAnsi="Times New Roman" w:eastAsia="方正楷体_GBK" w:cs="Times New Roman"/>
          <w:b/>
          <w:bCs/>
          <w:color w:val="auto"/>
          <w:lang w:val="en-US" w:eastAsia="zh-CN"/>
        </w:rPr>
        <w:t>（三）发展目标</w:t>
      </w:r>
      <w:bookmarkEnd w:id="9"/>
    </w:p>
    <w:p>
      <w:pPr>
        <w:pageBreakBefore w:val="0"/>
        <w:kinsoku/>
        <w:wordWrap/>
        <w:overflowPunct/>
        <w:topLinePunct w:val="0"/>
        <w:bidi w:val="0"/>
        <w:adjustRightInd/>
        <w:snapToGrid/>
        <w:spacing w:line="600" w:lineRule="exact"/>
        <w:ind w:firstLine="0"/>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rPr>
        <w:t>到2025年，实现全市服务业总量规模持续扩大、行业结构明显优化、竞争能力显著增强、集聚水平加快提升、改革开放持续深化，成为宿州市高质量发展的重要驱动力。</w:t>
      </w:r>
    </w:p>
    <w:p>
      <w:pPr>
        <w:pageBreakBefore w:val="0"/>
        <w:kinsoku/>
        <w:wordWrap/>
        <w:overflowPunct/>
        <w:topLinePunct w:val="0"/>
        <w:bidi w:val="0"/>
        <w:adjustRightInd/>
        <w:snapToGrid/>
        <w:spacing w:line="600" w:lineRule="exact"/>
        <w:ind w:firstLine="0"/>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总量规模持续扩大。</w:t>
      </w:r>
      <w:r>
        <w:rPr>
          <w:rFonts w:hint="default" w:ascii="Times New Roman" w:hAnsi="Times New Roman" w:eastAsia="方正仿宋_GBK" w:cs="Times New Roman"/>
          <w:color w:val="auto"/>
          <w:kern w:val="0"/>
          <w:szCs w:val="32"/>
          <w:lang w:bidi="ar"/>
        </w:rPr>
        <w:t>服务业在全市稳就业、稳增长、保民生、保市场主体中的作用更加凸显</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仿宋_GB2312" w:cs="Times New Roman"/>
          <w:color w:val="auto"/>
          <w:lang w:val="en-US"/>
        </w:rPr>
        <w:t>服务业增加值增速高于地区生产总值增速，服务业固定资产投资增速高于全社会固定资产投资增速</w:t>
      </w:r>
      <w:r>
        <w:rPr>
          <w:rFonts w:hint="default" w:ascii="Times New Roman" w:hAnsi="Times New Roman" w:cs="Times New Roman"/>
          <w:color w:val="auto"/>
          <w:lang w:val="en-US" w:eastAsia="zh-CN"/>
        </w:rPr>
        <w:t>，服务业从业人员占比达到全省平均水平</w:t>
      </w:r>
      <w:r>
        <w:rPr>
          <w:rFonts w:hint="default" w:ascii="Times New Roman" w:hAnsi="Times New Roman" w:eastAsia="仿宋_GB2312" w:cs="Times New Roman"/>
          <w:color w:val="auto"/>
          <w:lang w:val="en-US"/>
        </w:rPr>
        <w:t>。</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行业结构明显优化。</w:t>
      </w:r>
      <w:r>
        <w:rPr>
          <w:rFonts w:hint="default" w:ascii="Times New Roman" w:hAnsi="Times New Roman" w:eastAsia="仿宋_GB2312" w:cs="Times New Roman"/>
          <w:color w:val="auto"/>
          <w:lang w:val="en-US" w:eastAsia="zh-CN"/>
        </w:rPr>
        <w:t>生产性服务业</w:t>
      </w:r>
      <w:r>
        <w:rPr>
          <w:rFonts w:hint="default" w:ascii="Times New Roman" w:hAnsi="Times New Roman" w:cs="Times New Roman"/>
          <w:color w:val="auto"/>
          <w:lang w:val="en-US" w:eastAsia="zh-CN"/>
        </w:rPr>
        <w:t>效率和专业化水平显著提高，生活性服务业高品质、多样化供给能力显著增强</w:t>
      </w:r>
      <w:r>
        <w:rPr>
          <w:rFonts w:hint="default" w:ascii="Times New Roman" w:hAnsi="Times New Roman" w:eastAsia="仿宋_GB2312" w:cs="Times New Roman"/>
          <w:color w:val="auto"/>
          <w:lang w:val="en-US"/>
        </w:rPr>
        <w:t>。信息服务、科技服务、现代金融等现代服务业比重达到15%左右</w:t>
      </w:r>
      <w:r>
        <w:rPr>
          <w:rFonts w:hint="default" w:ascii="Times New Roman" w:hAnsi="Times New Roman" w:cs="Times New Roman"/>
          <w:color w:val="auto"/>
          <w:lang w:val="en-US" w:eastAsia="zh-CN"/>
        </w:rPr>
        <w:t>。其他营利性服务业营业收入年均增长20%以上。</w:t>
      </w:r>
    </w:p>
    <w:p>
      <w:pPr>
        <w:pageBreakBefore w:val="0"/>
        <w:kinsoku/>
        <w:wordWrap/>
        <w:overflowPunct/>
        <w:topLinePunct w:val="0"/>
        <w:bidi w:val="0"/>
        <w:adjustRightInd/>
        <w:snapToGrid/>
        <w:spacing w:line="600" w:lineRule="exact"/>
        <w:ind w:firstLine="643"/>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rPr>
        <w:t>竞争能力显著增强。</w:t>
      </w:r>
      <w:r>
        <w:rPr>
          <w:rFonts w:hint="default" w:ascii="Times New Roman" w:hAnsi="Times New Roman" w:eastAsia="仿宋_GB2312" w:cs="Times New Roman"/>
          <w:color w:val="auto"/>
          <w:lang w:val="en-US"/>
        </w:rPr>
        <w:t>现代服务业创新投入快速增加，融合发展水平加速提升。到2025年，</w:t>
      </w:r>
      <w:r>
        <w:rPr>
          <w:rFonts w:hint="default" w:ascii="Times New Roman" w:hAnsi="Times New Roman" w:cs="Times New Roman"/>
          <w:color w:val="auto"/>
          <w:lang w:val="en-US" w:eastAsia="zh-CN"/>
        </w:rPr>
        <w:t>力争全国服务业500强实现零突破。创建省级以上“两业融合”试点单位10家左右，服务业皖美品牌示范企业10家左右。服务业劳动生产率达到全省平均水平。</w:t>
      </w:r>
    </w:p>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lang w:val="en-US"/>
        </w:rPr>
      </w:pPr>
      <w:r>
        <w:rPr>
          <w:rFonts w:hint="default" w:ascii="Times New Roman" w:hAnsi="Times New Roman" w:eastAsia="仿宋_GB2312" w:cs="Times New Roman"/>
          <w:b/>
          <w:bCs/>
          <w:color w:val="auto"/>
          <w:lang w:val="en-US"/>
        </w:rPr>
        <w:t>集聚水平加快提升。</w:t>
      </w:r>
      <w:r>
        <w:rPr>
          <w:rFonts w:hint="default" w:ascii="Times New Roman" w:hAnsi="Times New Roman" w:eastAsia="仿宋_GB2312" w:cs="Times New Roman"/>
          <w:color w:val="auto"/>
          <w:lang w:val="en-US"/>
        </w:rPr>
        <w:t>到2025年，力争建成40家左右市级服务业集聚区，</w:t>
      </w:r>
      <w:r>
        <w:rPr>
          <w:rFonts w:hint="default" w:ascii="Times New Roman" w:hAnsi="Times New Roman" w:eastAsia="仿宋_GB2312" w:cs="Times New Roman"/>
          <w:color w:val="auto"/>
          <w:lang w:val="en-US" w:eastAsia="zh-CN"/>
        </w:rPr>
        <w:t>推动</w:t>
      </w:r>
      <w:r>
        <w:rPr>
          <w:rFonts w:hint="default" w:ascii="Times New Roman" w:hAnsi="Times New Roman" w:eastAsia="仿宋_GB2312" w:cs="Times New Roman"/>
          <w:color w:val="auto"/>
          <w:lang w:val="en-US"/>
        </w:rPr>
        <w:t>省级现代服务业集聚区提质增效，</w:t>
      </w:r>
      <w:r>
        <w:rPr>
          <w:rFonts w:hint="default" w:ascii="Times New Roman" w:hAnsi="Times New Roman" w:eastAsia="仿宋_GB2312" w:cs="Times New Roman"/>
          <w:color w:val="auto"/>
          <w:lang w:val="en-US" w:eastAsia="zh-CN"/>
        </w:rPr>
        <w:t>择优再培育</w:t>
      </w:r>
      <w:r>
        <w:rPr>
          <w:rFonts w:hint="default" w:ascii="Times New Roman" w:hAnsi="Times New Roman" w:cs="Times New Roman"/>
          <w:color w:val="auto"/>
          <w:lang w:val="en-US" w:eastAsia="zh-CN"/>
        </w:rPr>
        <w:t>10</w:t>
      </w:r>
      <w:r>
        <w:rPr>
          <w:rFonts w:hint="default" w:ascii="Times New Roman" w:hAnsi="Times New Roman" w:eastAsia="仿宋_GB2312" w:cs="Times New Roman"/>
          <w:color w:val="auto"/>
          <w:lang w:val="en-US" w:eastAsia="zh-CN"/>
        </w:rPr>
        <w:t>家省级服务业集聚区</w:t>
      </w:r>
      <w:r>
        <w:rPr>
          <w:rFonts w:hint="default" w:ascii="Times New Roman" w:hAnsi="Times New Roman" w:cs="Times New Roman"/>
          <w:color w:val="auto"/>
          <w:lang w:val="en-US" w:eastAsia="zh-CN"/>
        </w:rPr>
        <w:t>，通过</w:t>
      </w:r>
      <w:r>
        <w:rPr>
          <w:rFonts w:hint="default" w:ascii="Times New Roman" w:hAnsi="Times New Roman" w:cs="Times New Roman"/>
          <w:color w:val="auto"/>
          <w:lang w:val="en-US"/>
        </w:rPr>
        <w:t>集聚高端要素，强化辐射带动，推动形成一批高质量的产业集群。</w:t>
      </w:r>
    </w:p>
    <w:p>
      <w:pPr>
        <w:pageBreakBefore w:val="0"/>
        <w:kinsoku/>
        <w:wordWrap/>
        <w:overflowPunct/>
        <w:topLinePunct w:val="0"/>
        <w:bidi w:val="0"/>
        <w:adjustRightInd/>
        <w:snapToGrid/>
        <w:spacing w:line="600" w:lineRule="exact"/>
        <w:ind w:left="0" w:leftChars="0" w:firstLine="642" w:firstLineChars="200"/>
        <w:jc w:val="left"/>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改革开放持续深化。</w:t>
      </w:r>
      <w:r>
        <w:rPr>
          <w:rFonts w:hint="default" w:ascii="Times New Roman" w:hAnsi="Times New Roman" w:eastAsia="仿宋_GB2312" w:cs="Times New Roman"/>
          <w:b w:val="0"/>
          <w:bCs w:val="0"/>
          <w:color w:val="auto"/>
          <w:lang w:val="en-US" w:eastAsia="zh-CN"/>
        </w:rPr>
        <w:t>服务业发展体制机制更加健全，政务服务和监管水平全面提升，</w:t>
      </w:r>
      <w:r>
        <w:rPr>
          <w:rFonts w:hint="default" w:ascii="Times New Roman" w:hAnsi="Times New Roman" w:eastAsia="仿宋_GB2312" w:cs="Times New Roman"/>
          <w:color w:val="auto"/>
          <w:lang w:val="en-US"/>
        </w:rPr>
        <w:t>进一步放宽服务业市场准入，积极开展省级服务业综合改革试点，谋划建设国家和省服务贸易特色出口基地。</w:t>
      </w:r>
    </w:p>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b w:val="0"/>
          <w:bCs w:val="0"/>
          <w:color w:val="auto"/>
          <w:sz w:val="28"/>
          <w:szCs w:val="28"/>
          <w:lang w:val="en-US" w:eastAsia="zh-CN"/>
        </w:rPr>
      </w:pPr>
    </w:p>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eastAsia="方正黑体_GBK" w:cs="Times New Roman"/>
          <w:b w:val="0"/>
          <w:bCs w:val="0"/>
          <w:color w:val="auto"/>
          <w:sz w:val="28"/>
          <w:szCs w:val="28"/>
          <w:lang w:val="en-US" w:eastAsia="zh-CN"/>
        </w:rPr>
      </w:pPr>
      <w:r>
        <w:rPr>
          <w:rFonts w:hint="default" w:ascii="Times New Roman" w:hAnsi="Times New Roman" w:eastAsia="方正黑体_GBK" w:cs="Times New Roman"/>
          <w:b w:val="0"/>
          <w:bCs w:val="0"/>
          <w:color w:val="auto"/>
          <w:sz w:val="28"/>
          <w:szCs w:val="28"/>
          <w:lang w:val="en-US" w:eastAsia="zh-CN"/>
        </w:rPr>
        <w:t>专栏1：“十四五”服务业发展主要指标表</w:t>
      </w:r>
    </w:p>
    <w:tbl>
      <w:tblPr>
        <w:tblStyle w:val="21"/>
        <w:tblW w:w="86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4133"/>
        <w:gridCol w:w="1275"/>
        <w:gridCol w:w="1315"/>
        <w:gridCol w:w="1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eastAsia="zh-CN"/>
              </w:rPr>
              <w:t>序号</w:t>
            </w:r>
          </w:p>
        </w:tc>
        <w:tc>
          <w:tcPr>
            <w:tcW w:w="4133"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eastAsia="zh-CN"/>
              </w:rPr>
              <w:t>指标</w:t>
            </w:r>
          </w:p>
        </w:tc>
        <w:tc>
          <w:tcPr>
            <w:tcW w:w="1275"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eastAsia="zh-CN"/>
              </w:rPr>
              <w:t>20</w:t>
            </w:r>
            <w:r>
              <w:rPr>
                <w:rFonts w:hint="default" w:ascii="Times New Roman" w:hAnsi="Times New Roman" w:eastAsia="黑体" w:cs="Times New Roman"/>
                <w:b w:val="0"/>
                <w:bCs w:val="0"/>
                <w:color w:val="auto"/>
                <w:sz w:val="24"/>
                <w:szCs w:val="24"/>
                <w:lang w:val="en-US" w:eastAsia="zh-CN"/>
              </w:rPr>
              <w:t>20</w:t>
            </w:r>
            <w:r>
              <w:rPr>
                <w:rFonts w:hint="default" w:ascii="Times New Roman" w:hAnsi="Times New Roman" w:eastAsia="黑体" w:cs="Times New Roman"/>
                <w:b w:val="0"/>
                <w:bCs w:val="0"/>
                <w:color w:val="auto"/>
                <w:sz w:val="24"/>
                <w:szCs w:val="24"/>
                <w:lang w:eastAsia="zh-CN"/>
              </w:rPr>
              <w:t>年</w:t>
            </w:r>
          </w:p>
        </w:tc>
        <w:tc>
          <w:tcPr>
            <w:tcW w:w="1315"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eastAsia="zh-CN"/>
              </w:rPr>
              <w:t>2025年目标</w:t>
            </w:r>
          </w:p>
        </w:tc>
        <w:tc>
          <w:tcPr>
            <w:tcW w:w="1386" w:type="dxa"/>
            <w:vAlign w:val="center"/>
          </w:tcPr>
          <w:p>
            <w:pPr>
              <w:keepNext w:val="0"/>
              <w:keepLines w:val="0"/>
              <w:pageBreakBefore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eastAsia="zh-CN"/>
              </w:rPr>
              <w:t>年均增速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i w:val="0"/>
                <w:iCs w:val="0"/>
                <w:color w:val="auto"/>
                <w:kern w:val="0"/>
                <w:sz w:val="22"/>
                <w:szCs w:val="22"/>
                <w:u w:val="none"/>
                <w:lang w:val="en-US" w:eastAsia="zh-CN" w:bidi="ar"/>
              </w:rPr>
              <w:t>1</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i w:val="0"/>
                <w:iCs w:val="0"/>
                <w:color w:val="auto"/>
                <w:kern w:val="0"/>
                <w:sz w:val="22"/>
                <w:szCs w:val="22"/>
                <w:u w:val="none"/>
                <w:lang w:val="en-US" w:eastAsia="zh-CN" w:bidi="ar"/>
              </w:rPr>
              <w:t>服务业增加值（亿元）</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i w:val="0"/>
                <w:iCs w:val="0"/>
                <w:color w:val="auto"/>
                <w:kern w:val="0"/>
                <w:sz w:val="22"/>
                <w:szCs w:val="22"/>
                <w:u w:val="none"/>
                <w:lang w:val="en-US" w:eastAsia="zh-CN" w:bidi="ar"/>
              </w:rPr>
              <w:t>1014.96</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1700</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2</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服务业投资增速（</w:t>
            </w:r>
            <w:r>
              <w:rPr>
                <w:rFonts w:hint="default" w:ascii="Times New Roman" w:hAnsi="Times New Roman" w:eastAsia="宋体" w:cs="Times New Roman"/>
                <w:color w:val="auto"/>
                <w:sz w:val="22"/>
                <w:szCs w:val="22"/>
                <w:lang w:val="en-US" w:eastAsia="zh-CN" w:bidi="ar"/>
              </w:rPr>
              <w:t>%）</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rPr>
            </w:pPr>
            <w:r>
              <w:rPr>
                <w:rFonts w:hint="default" w:ascii="Times New Roman" w:hAnsi="Times New Roman" w:eastAsia="宋体" w:cs="Times New Roman"/>
                <w:i w:val="0"/>
                <w:iCs w:val="0"/>
                <w:color w:val="auto"/>
                <w:kern w:val="0"/>
                <w:sz w:val="22"/>
                <w:szCs w:val="22"/>
                <w:u w:val="none"/>
                <w:lang w:val="en-US" w:eastAsia="zh-CN" w:bidi="ar"/>
              </w:rPr>
              <w:t>15.4</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3</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服务业从业人员比重（%）</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36.6</w:t>
            </w:r>
          </w:p>
        </w:tc>
        <w:tc>
          <w:tcPr>
            <w:tcW w:w="1315" w:type="dxa"/>
            <w:vAlign w:val="center"/>
          </w:tcPr>
          <w:p>
            <w:pPr>
              <w:keepNext w:val="0"/>
              <w:keepLines w:val="0"/>
              <w:pageBreakBefore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≥42</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highlight w:val="none"/>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服务业劳动生产率（万元/人）</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9.3</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color w:val="auto"/>
                <w:sz w:val="22"/>
                <w:szCs w:val="22"/>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5</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其他营利性服务业营业收入增速（%）</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13</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6</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服务业法人单位数（万家）</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4.2</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5.2</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服务皖美品牌示范企业（家）</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8</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新增省级服务业集聚区（家）</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5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color w:val="auto"/>
                <w:kern w:val="0"/>
                <w:sz w:val="22"/>
                <w:szCs w:val="22"/>
                <w:u w:val="none"/>
                <w:lang w:val="en-US" w:eastAsia="zh-CN" w:bidi="ar"/>
              </w:rPr>
              <w:t>9</w:t>
            </w:r>
          </w:p>
        </w:tc>
        <w:tc>
          <w:tcPr>
            <w:tcW w:w="413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left"/>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新增省级两业融合示范单位（家）</w:t>
            </w:r>
          </w:p>
        </w:tc>
        <w:tc>
          <w:tcPr>
            <w:tcW w:w="12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c>
          <w:tcPr>
            <w:tcW w:w="131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[10]</w:t>
            </w:r>
          </w:p>
        </w:tc>
        <w:tc>
          <w:tcPr>
            <w:tcW w:w="138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160" w:leftChars="50" w:firstLine="0" w:firstLineChars="0"/>
              <w:jc w:val="center"/>
              <w:textAlignment w:val="auto"/>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w:t>
            </w:r>
          </w:p>
        </w:tc>
      </w:tr>
    </w:tbl>
    <w:p>
      <w:pPr>
        <w:pageBreakBefore w:val="0"/>
        <w:kinsoku/>
        <w:wordWrap/>
        <w:overflowPunct/>
        <w:topLinePunct w:val="0"/>
        <w:bidi w:val="0"/>
        <w:adjustRightInd/>
        <w:snapToGrid/>
        <w:spacing w:line="600" w:lineRule="exact"/>
        <w:textAlignment w:val="auto"/>
        <w:rPr>
          <w:rFonts w:hint="default" w:ascii="Times New Roman" w:hAnsi="Times New Roman" w:eastAsia="仿宋_GB2312" w:cs="Times New Roman"/>
          <w:b/>
          <w:bCs/>
          <w:color w:val="auto"/>
          <w:spacing w:val="8"/>
          <w:sz w:val="24"/>
          <w:szCs w:val="24"/>
        </w:rPr>
      </w:pPr>
      <w:r>
        <w:rPr>
          <w:rFonts w:hint="default" w:ascii="Times New Roman" w:hAnsi="Times New Roman" w:eastAsia="仿宋_GB2312" w:cs="Times New Roman"/>
          <w:color w:val="auto"/>
          <w:spacing w:val="8"/>
          <w:sz w:val="24"/>
          <w:szCs w:val="24"/>
        </w:rPr>
        <w:t>注：[]内数据为五年累计数。</w:t>
      </w:r>
    </w:p>
    <w:p>
      <w:pPr>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lang w:val="en-US" w:bidi="ar-SA"/>
        </w:rPr>
      </w:pPr>
      <w:r>
        <w:rPr>
          <w:rFonts w:hint="default" w:ascii="Times New Roman" w:hAnsi="Times New Roman" w:eastAsia="仿宋_GB2312" w:cs="Times New Roman"/>
          <w:color w:val="auto"/>
          <w:kern w:val="2"/>
          <w:lang w:val="en-US" w:bidi="ar-SA"/>
        </w:rPr>
        <w:br w:type="page"/>
      </w:r>
    </w:p>
    <w:p>
      <w:pPr>
        <w:pStyle w:val="3"/>
        <w:pageBreakBefore w:val="0"/>
        <w:kinsoku/>
        <w:wordWrap/>
        <w:overflowPunct/>
        <w:topLinePunct w:val="0"/>
        <w:bidi w:val="0"/>
        <w:adjustRightInd/>
        <w:snapToGrid/>
        <w:spacing w:before="312" w:after="312" w:line="600" w:lineRule="exact"/>
        <w:textAlignment w:val="auto"/>
        <w:rPr>
          <w:rFonts w:hint="default" w:ascii="Times New Roman" w:hAnsi="Times New Roman" w:cs="Times New Roman"/>
          <w:color w:val="auto"/>
          <w:szCs w:val="32"/>
          <w:lang w:val="en-US" w:bidi="ar-SA"/>
        </w:rPr>
      </w:pPr>
      <w:bookmarkStart w:id="10" w:name="_Toc457472249"/>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"_bookmark7" </w:instrText>
      </w:r>
      <w:r>
        <w:rPr>
          <w:rFonts w:hint="default" w:ascii="Times New Roman" w:hAnsi="Times New Roman" w:cs="Times New Roman"/>
          <w:color w:val="auto"/>
        </w:rPr>
        <w:fldChar w:fldCharType="separate"/>
      </w:r>
      <w:r>
        <w:rPr>
          <w:rFonts w:hint="default" w:ascii="Times New Roman" w:hAnsi="Times New Roman" w:cs="Times New Roman"/>
          <w:color w:val="auto"/>
          <w:lang w:val="en-US" w:eastAsia="zh-CN"/>
        </w:rPr>
        <w:t>三、</w:t>
      </w:r>
      <w:r>
        <w:rPr>
          <w:rFonts w:hint="default" w:ascii="Times New Roman" w:hAnsi="Times New Roman" w:cs="Times New Roman"/>
          <w:color w:val="auto"/>
          <w:lang w:val="en-US"/>
        </w:rPr>
        <w:t>空间布局</w:t>
      </w:r>
      <w:r>
        <w:rPr>
          <w:rFonts w:hint="default" w:ascii="Times New Roman" w:hAnsi="Times New Roman" w:cs="Times New Roman"/>
          <w:color w:val="auto"/>
          <w:lang w:val="en-US"/>
        </w:rPr>
        <w:fldChar w:fldCharType="end"/>
      </w:r>
      <w:bookmarkEnd w:id="10"/>
    </w:p>
    <w:p>
      <w:pPr>
        <w:pageBreakBefore w:val="0"/>
        <w:widowControl w:val="0"/>
        <w:kinsoku/>
        <w:wordWrap/>
        <w:overflowPunct/>
        <w:topLinePunct w:val="0"/>
        <w:bidi w:val="0"/>
        <w:adjustRightInd/>
        <w:snapToGrid/>
        <w:spacing w:line="600" w:lineRule="exact"/>
        <w:ind w:firstLine="640"/>
        <w:textAlignment w:val="auto"/>
        <w:rPr>
          <w:rFonts w:hint="default" w:ascii="Times New Roman" w:hAnsi="Times New Roman" w:eastAsia="仿宋" w:cs="Times New Roman"/>
          <w:color w:val="auto"/>
          <w:lang w:val="en-US" w:eastAsia="zh-CN"/>
        </w:rPr>
      </w:pPr>
      <w:r>
        <w:rPr>
          <w:rFonts w:hint="default" w:ascii="Times New Roman" w:hAnsi="Times New Roman" w:cs="Times New Roman"/>
          <w:color w:val="auto"/>
          <w:lang w:val="en-US" w:eastAsia="zh-CN"/>
        </w:rPr>
        <w:t>根据宿州市服务业发展现状与趋势，结合区域资源分布、产业特征和发展定位，依托主城区、中心县城、交通干道、</w:t>
      </w:r>
      <w:r>
        <w:rPr>
          <w:rFonts w:hint="default" w:ascii="Times New Roman" w:hAnsi="Times New Roman" w:cs="Times New Roman"/>
          <w:color w:val="auto"/>
        </w:rPr>
        <w:t>服务业集聚</w:t>
      </w:r>
      <w:r>
        <w:rPr>
          <w:rFonts w:hint="default" w:ascii="Times New Roman" w:hAnsi="Times New Roman" w:cs="Times New Roman"/>
          <w:color w:val="auto"/>
          <w:lang w:val="en-US" w:eastAsia="zh-CN"/>
        </w:rPr>
        <w:t>示范</w:t>
      </w:r>
      <w:r>
        <w:rPr>
          <w:rFonts w:hint="default" w:ascii="Times New Roman" w:hAnsi="Times New Roman" w:cs="Times New Roman"/>
          <w:color w:val="auto"/>
        </w:rPr>
        <w:t>区</w:t>
      </w:r>
      <w:r>
        <w:rPr>
          <w:rFonts w:hint="default" w:ascii="Times New Roman" w:hAnsi="Times New Roman" w:cs="Times New Roman"/>
          <w:color w:val="auto"/>
          <w:lang w:val="en-US" w:eastAsia="zh-CN"/>
        </w:rPr>
        <w:t>等，着力打造宿州市</w:t>
      </w:r>
      <w:r>
        <w:rPr>
          <w:rFonts w:hint="default" w:ascii="Times New Roman" w:hAnsi="Times New Roman" w:cs="Times New Roman"/>
          <w:color w:val="auto"/>
        </w:rPr>
        <w:t>“一核</w:t>
      </w:r>
      <w:r>
        <w:rPr>
          <w:rFonts w:hint="default" w:ascii="Times New Roman" w:hAnsi="Times New Roman" w:cs="Times New Roman"/>
          <w:color w:val="auto"/>
          <w:lang w:val="en-US" w:eastAsia="zh-CN"/>
        </w:rPr>
        <w:t>二极三廊（带）</w:t>
      </w:r>
      <w:r>
        <w:rPr>
          <w:rFonts w:hint="default" w:ascii="Times New Roman" w:hAnsi="Times New Roman" w:cs="Times New Roman"/>
          <w:color w:val="auto"/>
        </w:rPr>
        <w:t>四</w:t>
      </w:r>
      <w:r>
        <w:rPr>
          <w:rFonts w:hint="default" w:ascii="Times New Roman" w:hAnsi="Times New Roman" w:cs="Times New Roman"/>
          <w:color w:val="auto"/>
          <w:lang w:val="en-US" w:eastAsia="zh-CN"/>
        </w:rPr>
        <w:t>心多区”的组团式、网络化空间协调发展格局，推动现代服务业联动发展。</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1" w:name="_Toc779273302"/>
      <w:r>
        <w:rPr>
          <w:rFonts w:hint="default" w:ascii="Times New Roman" w:hAnsi="Times New Roman" w:eastAsia="方正楷体_GBK" w:cs="Times New Roman"/>
          <w:b/>
          <w:bCs/>
          <w:color w:val="auto"/>
          <w:lang w:val="en-US" w:eastAsia="zh-CN"/>
        </w:rPr>
        <w:t>（一）“一核”引领</w:t>
      </w:r>
      <w:bookmarkEnd w:id="11"/>
    </w:p>
    <w:p>
      <w:pPr>
        <w:pageBreakBefore w:val="0"/>
        <w:widowControl w:val="0"/>
        <w:kinsoku/>
        <w:wordWrap/>
        <w:overflowPunct/>
        <w:topLinePunct w:val="0"/>
        <w:bidi w:val="0"/>
        <w:adjustRightInd/>
        <w:snapToGrid/>
        <w:spacing w:line="600" w:lineRule="exact"/>
        <w:ind w:firstLine="643"/>
        <w:textAlignment w:val="auto"/>
        <w:rPr>
          <w:rFonts w:hint="default" w:ascii="Times New Roman" w:hAnsi="Times New Roman" w:cs="Times New Roman"/>
          <w:color w:val="auto"/>
        </w:rPr>
      </w:pPr>
      <w:r>
        <w:rPr>
          <w:rFonts w:hint="default" w:ascii="Times New Roman" w:hAnsi="Times New Roman" w:cs="Times New Roman"/>
          <w:b w:val="0"/>
          <w:bCs w:val="0"/>
          <w:color w:val="auto"/>
          <w:lang w:val="en-US"/>
        </w:rPr>
        <w:t>“一核”</w:t>
      </w:r>
      <w:r>
        <w:rPr>
          <w:rFonts w:hint="default" w:ascii="Times New Roman" w:hAnsi="Times New Roman" w:cs="Times New Roman"/>
          <w:b w:val="0"/>
          <w:bCs w:val="0"/>
          <w:color w:val="auto"/>
          <w:lang w:val="en-US" w:eastAsia="zh-CN"/>
        </w:rPr>
        <w:t>，</w:t>
      </w:r>
      <w:r>
        <w:rPr>
          <w:rFonts w:hint="default" w:ascii="Times New Roman" w:hAnsi="Times New Roman" w:cs="Times New Roman"/>
          <w:b w:val="0"/>
          <w:bCs w:val="0"/>
          <w:color w:val="auto"/>
        </w:rPr>
        <w:t>即宿州主城综合服务核。充分发挥中心城区在服务业发展中的引擎作用、高地作用、集聚示范作用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稳固发展宿州主城综合服务核，以建设高端服务聚集、辐射作用突出的城市经济文化中心区为主线，壮大</w:t>
      </w:r>
      <w:r>
        <w:rPr>
          <w:rFonts w:hint="default" w:ascii="Times New Roman" w:hAnsi="Times New Roman" w:cs="Times New Roman"/>
          <w:b w:val="0"/>
          <w:bCs w:val="0"/>
          <w:color w:val="auto"/>
          <w:lang w:val="en-US" w:eastAsia="zh-CN"/>
        </w:rPr>
        <w:t>市高新区</w:t>
      </w:r>
      <w:r>
        <w:rPr>
          <w:rFonts w:hint="default" w:ascii="Times New Roman" w:hAnsi="Times New Roman" w:cs="Times New Roman"/>
          <w:color w:val="auto"/>
        </w:rPr>
        <w:t>信息服务业，推进信息服务、</w:t>
      </w:r>
      <w:r>
        <w:rPr>
          <w:rFonts w:hint="default" w:ascii="Times New Roman" w:hAnsi="Times New Roman" w:cs="Times New Roman"/>
          <w:color w:val="auto"/>
          <w:lang w:val="en-US" w:eastAsia="zh-CN"/>
        </w:rPr>
        <w:t>科技</w:t>
      </w:r>
      <w:r>
        <w:rPr>
          <w:rFonts w:hint="default" w:ascii="Times New Roman" w:hAnsi="Times New Roman" w:cs="Times New Roman"/>
          <w:color w:val="auto"/>
        </w:rPr>
        <w:t>服务、金融服务等中高端现代服务业发展，改造提升商贸流通等传统服务业</w:t>
      </w:r>
      <w:r>
        <w:rPr>
          <w:rFonts w:hint="default" w:ascii="Times New Roman" w:hAnsi="Times New Roman" w:cs="Times New Roman"/>
          <w:color w:val="auto"/>
          <w:lang w:eastAsia="zh-CN"/>
        </w:rPr>
        <w:t>；</w:t>
      </w:r>
      <w:r>
        <w:rPr>
          <w:rFonts w:hint="default" w:ascii="Times New Roman" w:hAnsi="Times New Roman" w:cs="Times New Roman"/>
          <w:b w:val="0"/>
          <w:bCs w:val="0"/>
          <w:color w:val="auto"/>
          <w:lang w:eastAsia="zh-CN"/>
        </w:rPr>
        <w:t>围绕产业转型升级，大力发展认证、咨询、评估</w:t>
      </w:r>
      <w:r>
        <w:rPr>
          <w:rFonts w:hint="default" w:ascii="Times New Roman" w:hAnsi="Times New Roman" w:cs="Times New Roman"/>
          <w:b w:val="0"/>
          <w:bCs w:val="0"/>
          <w:color w:val="auto"/>
          <w:lang w:val="en-US" w:eastAsia="zh-CN"/>
        </w:rPr>
        <w:t>等配套</w:t>
      </w:r>
      <w:r>
        <w:rPr>
          <w:rFonts w:hint="default" w:ascii="Times New Roman" w:hAnsi="Times New Roman" w:cs="Times New Roman"/>
          <w:b w:val="0"/>
          <w:bCs w:val="0"/>
          <w:color w:val="auto"/>
          <w:lang w:eastAsia="zh-CN"/>
        </w:rPr>
        <w:t>服务，引导</w:t>
      </w:r>
      <w:r>
        <w:rPr>
          <w:rFonts w:hint="default" w:ascii="Times New Roman" w:hAnsi="Times New Roman" w:cs="Times New Roman"/>
          <w:b w:val="0"/>
          <w:bCs w:val="0"/>
          <w:color w:val="auto"/>
          <w:lang w:val="en-US" w:eastAsia="zh-CN"/>
        </w:rPr>
        <w:t>中心城区不断提高能级</w:t>
      </w:r>
      <w:r>
        <w:rPr>
          <w:rFonts w:hint="default" w:ascii="Times New Roman" w:hAnsi="Times New Roman" w:cs="Times New Roman"/>
          <w:b w:val="0"/>
          <w:bCs w:val="0"/>
          <w:color w:val="auto"/>
          <w:lang w:eastAsia="zh-CN"/>
        </w:rPr>
        <w:t>，</w:t>
      </w:r>
      <w:r>
        <w:rPr>
          <w:rFonts w:hint="default" w:ascii="Times New Roman" w:hAnsi="Times New Roman" w:cs="Times New Roman"/>
          <w:color w:val="auto"/>
        </w:rPr>
        <w:t>打造宿州市服务业主引擎。</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2" w:name="_Toc574852595"/>
      <w:r>
        <w:rPr>
          <w:rFonts w:hint="default" w:ascii="Times New Roman" w:hAnsi="Times New Roman" w:eastAsia="方正楷体_GBK" w:cs="Times New Roman"/>
          <w:b/>
          <w:bCs/>
          <w:color w:val="auto"/>
          <w:lang w:val="en-US" w:eastAsia="zh-CN"/>
        </w:rPr>
        <w:t>（二）“二极”提升</w:t>
      </w:r>
      <w:bookmarkEnd w:id="1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cs="Times New Roman"/>
          <w:b w:val="0"/>
          <w:bCs w:val="0"/>
          <w:color w:val="auto"/>
          <w:lang w:val="en-US" w:eastAsia="zh-CN"/>
        </w:rPr>
        <w:t>“二极”，即现代物流与数字经济两大服务业增长极。充分发挥两大增长极的“平台型”特征和优势，积极引入跨行业服务业态，延伸服务价值链。大力发展现代物流业，</w:t>
      </w:r>
      <w:r>
        <w:rPr>
          <w:rFonts w:hint="default" w:ascii="Times New Roman" w:hAnsi="Times New Roman" w:eastAsia="方正仿宋_GBK" w:cs="Times New Roman"/>
          <w:color w:val="auto"/>
          <w:sz w:val="32"/>
          <w:szCs w:val="40"/>
          <w:lang w:eastAsia="zh-CN" w:bidi="ar"/>
        </w:rPr>
        <w:t>建设国家骨干冷链物流基地</w:t>
      </w:r>
      <w:r>
        <w:rPr>
          <w:rFonts w:hint="default" w:ascii="Times New Roman" w:hAnsi="Times New Roman" w:eastAsia="方正仿宋_GBK" w:cs="Times New Roman"/>
          <w:color w:val="auto"/>
          <w:sz w:val="32"/>
          <w:szCs w:val="40"/>
          <w:lang w:bidi="ar"/>
        </w:rPr>
        <w:t>，争创国家物流枢纽承载城市</w:t>
      </w:r>
      <w:r>
        <w:rPr>
          <w:rFonts w:hint="default" w:ascii="Times New Roman" w:hAnsi="Times New Roman" w:eastAsia="方正仿宋_GBK" w:cs="Times New Roman"/>
          <w:color w:val="auto"/>
          <w:sz w:val="32"/>
          <w:szCs w:val="40"/>
          <w:lang w:eastAsia="zh-CN" w:bidi="ar"/>
        </w:rPr>
        <w:t>。</w:t>
      </w:r>
      <w:r>
        <w:rPr>
          <w:rFonts w:hint="default" w:ascii="Times New Roman" w:hAnsi="Times New Roman" w:eastAsia="方正仿宋_GBK" w:cs="Times New Roman"/>
          <w:color w:val="auto"/>
          <w:sz w:val="32"/>
          <w:szCs w:val="40"/>
          <w:lang w:bidi="ar"/>
        </w:rPr>
        <w:t>加快</w:t>
      </w:r>
      <w:r>
        <w:rPr>
          <w:rFonts w:hint="default" w:ascii="Times New Roman" w:hAnsi="Times New Roman" w:eastAsia="方正仿宋_GBK" w:cs="Times New Roman"/>
          <w:color w:val="auto"/>
          <w:sz w:val="32"/>
          <w:szCs w:val="40"/>
          <w:lang w:eastAsia="zh-CN" w:bidi="ar"/>
        </w:rPr>
        <w:t>现代物流“</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核</w:t>
      </w:r>
      <w:r>
        <w:rPr>
          <w:rFonts w:hint="default" w:ascii="Times New Roman" w:hAnsi="Times New Roman" w:eastAsia="仿宋_GB2312" w:cs="Times New Roman"/>
          <w:color w:val="auto"/>
          <w:sz w:val="32"/>
          <w:szCs w:val="32"/>
          <w:lang w:val="en-US" w:eastAsia="zh-CN"/>
        </w:rPr>
        <w:t>两带五</w:t>
      </w:r>
      <w:r>
        <w:rPr>
          <w:rFonts w:hint="default" w:ascii="Times New Roman" w:hAnsi="Times New Roman" w:eastAsia="仿宋_GB2312" w:cs="Times New Roman"/>
          <w:color w:val="auto"/>
          <w:sz w:val="32"/>
          <w:szCs w:val="32"/>
          <w:lang w:eastAsia="zh-CN"/>
        </w:rPr>
        <w:t>园多点</w:t>
      </w:r>
      <w:r>
        <w:rPr>
          <w:rFonts w:hint="default" w:ascii="Times New Roman" w:hAnsi="Times New Roman" w:eastAsia="方正仿宋_GBK" w:cs="Times New Roman"/>
          <w:color w:val="auto"/>
          <w:sz w:val="32"/>
          <w:szCs w:val="40"/>
          <w:lang w:eastAsia="zh-CN" w:bidi="ar"/>
        </w:rPr>
        <w:t>”空间布局</w:t>
      </w:r>
      <w:r>
        <w:rPr>
          <w:rFonts w:hint="default" w:ascii="Times New Roman" w:hAnsi="Times New Roman" w:eastAsia="方正仿宋_GBK" w:cs="Times New Roman"/>
          <w:color w:val="auto"/>
          <w:sz w:val="32"/>
          <w:szCs w:val="40"/>
          <w:lang w:bidi="ar"/>
        </w:rPr>
        <w:t>建设，打造集公铁水空联运综合性国家级物流枢纽工程，</w:t>
      </w:r>
      <w:r>
        <w:rPr>
          <w:rFonts w:hint="default" w:ascii="Times New Roman" w:hAnsi="Times New Roman" w:eastAsia="方正仿宋_GBK" w:cs="Times New Roman"/>
          <w:color w:val="auto"/>
          <w:sz w:val="32"/>
          <w:szCs w:val="40"/>
          <w:lang w:eastAsia="zh-CN" w:bidi="ar"/>
        </w:rPr>
        <w:t>建成</w:t>
      </w:r>
      <w:r>
        <w:rPr>
          <w:rFonts w:hint="default" w:ascii="Times New Roman" w:hAnsi="Times New Roman" w:eastAsia="方正仿宋_GBK" w:cs="Times New Roman"/>
          <w:color w:val="auto"/>
          <w:sz w:val="32"/>
          <w:szCs w:val="40"/>
          <w:lang w:bidi="ar"/>
        </w:rPr>
        <w:t>长三角区域现代物流</w:t>
      </w:r>
      <w:r>
        <w:rPr>
          <w:rFonts w:hint="default" w:ascii="Times New Roman" w:hAnsi="Times New Roman" w:eastAsia="方正仿宋_GBK" w:cs="Times New Roman"/>
          <w:color w:val="auto"/>
          <w:sz w:val="32"/>
          <w:szCs w:val="40"/>
          <w:lang w:eastAsia="zh-CN" w:bidi="ar"/>
        </w:rPr>
        <w:t>示范区</w:t>
      </w:r>
      <w:r>
        <w:rPr>
          <w:rFonts w:hint="default" w:ascii="Times New Roman" w:hAnsi="Times New Roman" w:eastAsia="方正仿宋_GBK" w:cs="Times New Roman"/>
          <w:color w:val="auto"/>
          <w:sz w:val="32"/>
          <w:szCs w:val="40"/>
          <w:lang w:bidi="ar"/>
        </w:rPr>
        <w:t>。以打造全国重要的云计算大数据基地为引领，深入推进“数字产业化、产业数字化”，实施“新产业+新基建+智能制造+未来城市”，构建完善的数字经济生态体系，形成千亿级数字经济产业基地。</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3" w:name="_Toc1493769858"/>
      <w:r>
        <w:rPr>
          <w:rFonts w:hint="default" w:ascii="Times New Roman" w:hAnsi="Times New Roman" w:eastAsia="方正楷体_GBK" w:cs="Times New Roman"/>
          <w:b/>
          <w:bCs/>
          <w:color w:val="auto"/>
          <w:lang w:val="en-US" w:eastAsia="zh-CN"/>
        </w:rPr>
        <w:t>（三）“三廊（带）”联动</w:t>
      </w:r>
      <w:bookmarkEnd w:id="13"/>
    </w:p>
    <w:p>
      <w:pPr>
        <w:pageBreakBefore w:val="0"/>
        <w:widowControl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color w:val="auto"/>
          <w:lang w:val="en-US" w:eastAsia="zh-CN"/>
        </w:rPr>
        <w:t>“三廊（带）”，即</w:t>
      </w:r>
      <w:r>
        <w:rPr>
          <w:rFonts w:hint="default" w:ascii="Times New Roman" w:hAnsi="Times New Roman" w:cs="Times New Roman"/>
          <w:color w:val="auto"/>
          <w:highlight w:val="none"/>
          <w:lang w:val="en-US" w:eastAsia="zh-CN"/>
        </w:rPr>
        <w:t>萧砀黄河故道生态文化走廊、符离大道生态文化旅游带、</w:t>
      </w:r>
      <w:r>
        <w:rPr>
          <w:rFonts w:hint="default" w:ascii="Times New Roman" w:hAnsi="Times New Roman" w:cs="Times New Roman"/>
          <w:color w:val="auto"/>
          <w:lang w:val="en-US" w:eastAsia="zh-CN"/>
        </w:rPr>
        <w:t>大运河文化走廊（新汴河）三条服务业发展廊道。依托“三廊（带）”独特的地理、文化、旅游等资源优势，优化资源配置，强化空间聚合和功能融合，推动服务业向廊道沿线集聚。着力发挥“三廊（带）”的串联作用，加强与</w:t>
      </w:r>
      <w:r>
        <w:rPr>
          <w:rFonts w:hint="default" w:ascii="Times New Roman" w:hAnsi="Times New Roman" w:cs="Times New Roman"/>
          <w:b w:val="0"/>
          <w:bCs w:val="0"/>
          <w:color w:val="auto"/>
        </w:rPr>
        <w:t>主城综合服务核</w:t>
      </w:r>
      <w:r>
        <w:rPr>
          <w:rFonts w:hint="default" w:ascii="Times New Roman" w:hAnsi="Times New Roman" w:cs="Times New Roman"/>
          <w:color w:val="auto"/>
          <w:lang w:val="en-US" w:eastAsia="zh-CN"/>
        </w:rPr>
        <w:t>、</w:t>
      </w:r>
      <w:r>
        <w:rPr>
          <w:rFonts w:hint="default" w:ascii="Times New Roman" w:hAnsi="Times New Roman" w:cs="Times New Roman"/>
          <w:color w:val="auto"/>
        </w:rPr>
        <w:t>县城服务业中心</w:t>
      </w:r>
      <w:r>
        <w:rPr>
          <w:rFonts w:hint="default" w:ascii="Times New Roman" w:hAnsi="Times New Roman" w:cs="Times New Roman"/>
          <w:color w:val="auto"/>
          <w:lang w:val="en-US" w:eastAsia="zh-CN"/>
        </w:rPr>
        <w:t>和</w:t>
      </w:r>
      <w:r>
        <w:rPr>
          <w:rFonts w:hint="default" w:ascii="Times New Roman" w:hAnsi="Times New Roman" w:cs="Times New Roman"/>
          <w:color w:val="auto"/>
        </w:rPr>
        <w:t>服务业集聚区</w:t>
      </w:r>
      <w:r>
        <w:rPr>
          <w:rFonts w:hint="default" w:ascii="Times New Roman" w:hAnsi="Times New Roman" w:cs="Times New Roman"/>
          <w:color w:val="auto"/>
          <w:lang w:val="en-US" w:eastAsia="zh-CN"/>
        </w:rPr>
        <w:t>之间的合理分工与联系，助推全市服务业结构优化升级，实现宿州市服务业统筹集聚发展新局面。</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4" w:name="_Toc1267846924"/>
      <w:r>
        <w:rPr>
          <w:rFonts w:hint="default" w:ascii="Times New Roman" w:hAnsi="Times New Roman" w:eastAsia="方正楷体_GBK" w:cs="Times New Roman"/>
          <w:b/>
          <w:bCs/>
          <w:color w:val="auto"/>
          <w:lang w:val="en-US" w:eastAsia="zh-CN"/>
        </w:rPr>
        <w:t>（四）“四心”协同</w:t>
      </w:r>
      <w:bookmarkEnd w:id="14"/>
    </w:p>
    <w:p>
      <w:pPr>
        <w:pageBreakBefore w:val="0"/>
        <w:widowControl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rPr>
      </w:pPr>
      <w:r>
        <w:rPr>
          <w:rFonts w:hint="default" w:ascii="Times New Roman" w:hAnsi="Times New Roman" w:cs="Times New Roman"/>
          <w:b w:val="0"/>
          <w:bCs w:val="0"/>
          <w:color w:val="auto"/>
          <w:lang w:val="en-US"/>
        </w:rPr>
        <w:t>“四</w:t>
      </w:r>
      <w:r>
        <w:rPr>
          <w:rFonts w:hint="default" w:ascii="Times New Roman" w:hAnsi="Times New Roman" w:cs="Times New Roman"/>
          <w:b w:val="0"/>
          <w:bCs w:val="0"/>
          <w:color w:val="auto"/>
          <w:lang w:val="en-US" w:eastAsia="zh-CN"/>
        </w:rPr>
        <w:t>心</w:t>
      </w:r>
      <w:r>
        <w:rPr>
          <w:rFonts w:hint="default" w:ascii="Times New Roman" w:hAnsi="Times New Roman" w:cs="Times New Roman"/>
          <w:b w:val="0"/>
          <w:bCs w:val="0"/>
          <w:color w:val="auto"/>
          <w:lang w:val="en-US"/>
        </w:rPr>
        <w:t>”</w:t>
      </w:r>
      <w:r>
        <w:rPr>
          <w:rFonts w:hint="default" w:ascii="Times New Roman" w:hAnsi="Times New Roman" w:cs="Times New Roman"/>
          <w:b w:val="0"/>
          <w:bCs w:val="0"/>
          <w:color w:val="auto"/>
          <w:lang w:val="en-US" w:eastAsia="zh-CN"/>
        </w:rPr>
        <w:t>，</w:t>
      </w:r>
      <w:r>
        <w:rPr>
          <w:rFonts w:hint="default" w:ascii="Times New Roman" w:hAnsi="Times New Roman" w:cs="Times New Roman"/>
          <w:b w:val="0"/>
          <w:bCs w:val="0"/>
          <w:color w:val="auto"/>
        </w:rPr>
        <w:t>即砀山</w:t>
      </w:r>
      <w:r>
        <w:rPr>
          <w:rFonts w:hint="default" w:ascii="Times New Roman" w:hAnsi="Times New Roman" w:cs="Times New Roman"/>
          <w:color w:val="auto"/>
        </w:rPr>
        <w:t>、萧县、灵璧、泗县4个县城服务业中心。按照与中心城市功能互补和做大做强县域服务业原则，充分发挥县域经济的比较优势，结合各自产业基础、资源禀赋</w:t>
      </w:r>
      <w:r>
        <w:rPr>
          <w:rFonts w:hint="default" w:ascii="Times New Roman" w:hAnsi="Times New Roman" w:cs="Times New Roman"/>
          <w:color w:val="auto"/>
          <w:lang w:eastAsia="zh-CN"/>
        </w:rPr>
        <w:t>，</w:t>
      </w:r>
      <w:r>
        <w:rPr>
          <w:rFonts w:hint="default" w:ascii="Times New Roman" w:hAnsi="Times New Roman" w:cs="Times New Roman"/>
          <w:color w:val="auto"/>
        </w:rPr>
        <w:t>明确差异化发展导向，引导服务业生产要素和优势资源向县城集中、向服务业集聚区汇集，在大力培育已有特色服务业的同时，结合新型城镇化发展方向，着力培育服务业新</w:t>
      </w:r>
      <w:r>
        <w:rPr>
          <w:rFonts w:hint="default" w:ascii="Times New Roman" w:hAnsi="Times New Roman" w:cs="Times New Roman"/>
          <w:color w:val="auto"/>
          <w:lang w:eastAsia="zh-CN"/>
        </w:rPr>
        <w:t>业态</w:t>
      </w:r>
      <w:r>
        <w:rPr>
          <w:rFonts w:hint="default" w:ascii="Times New Roman" w:hAnsi="Times New Roman" w:cs="Times New Roman"/>
          <w:color w:val="auto"/>
        </w:rPr>
        <w:t>，加快形成功能互补、特色鲜明、联动发展的县域服务业体系。</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5" w:name="_Toc1949636769"/>
      <w:r>
        <w:rPr>
          <w:rFonts w:hint="default" w:ascii="Times New Roman" w:hAnsi="Times New Roman" w:eastAsia="方正楷体_GBK" w:cs="Times New Roman"/>
          <w:b/>
          <w:bCs/>
          <w:color w:val="auto"/>
          <w:lang w:val="en-US" w:eastAsia="zh-CN"/>
        </w:rPr>
        <w:t>（五）“多区”支撑</w:t>
      </w:r>
      <w:bookmarkEnd w:id="15"/>
    </w:p>
    <w:p>
      <w:pPr>
        <w:pageBreakBefore w:val="0"/>
        <w:widowControl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eastAsia="zh-CN"/>
        </w:rPr>
      </w:pPr>
      <w:r>
        <w:rPr>
          <w:rFonts w:hint="default" w:ascii="Times New Roman" w:hAnsi="Times New Roman" w:cs="Times New Roman"/>
          <w:b w:val="0"/>
          <w:bCs w:val="0"/>
          <w:color w:val="auto"/>
          <w:lang w:val="en-US"/>
        </w:rPr>
        <w:t>“多区”</w:t>
      </w:r>
      <w:r>
        <w:rPr>
          <w:rFonts w:hint="default" w:ascii="Times New Roman" w:hAnsi="Times New Roman" w:cs="Times New Roman"/>
          <w:b w:val="0"/>
          <w:bCs w:val="0"/>
          <w:color w:val="auto"/>
          <w:lang w:val="en-US" w:eastAsia="zh-CN"/>
        </w:rPr>
        <w:t>，</w:t>
      </w:r>
      <w:r>
        <w:rPr>
          <w:rFonts w:hint="default" w:ascii="Times New Roman" w:hAnsi="Times New Roman" w:cs="Times New Roman"/>
          <w:b w:val="0"/>
          <w:bCs w:val="0"/>
          <w:color w:val="auto"/>
        </w:rPr>
        <w:t>即</w:t>
      </w:r>
      <w:r>
        <w:rPr>
          <w:rFonts w:hint="default" w:ascii="Times New Roman" w:hAnsi="Times New Roman" w:cs="Times New Roman"/>
          <w:color w:val="auto"/>
        </w:rPr>
        <w:t>服务业集聚区。以省级服务业集聚区和示范园为样板，</w:t>
      </w:r>
      <w:r>
        <w:rPr>
          <w:rFonts w:hint="default" w:ascii="Times New Roman" w:hAnsi="Times New Roman" w:cs="Times New Roman"/>
          <w:color w:val="auto"/>
          <w:lang w:val="en-US" w:eastAsia="zh-CN"/>
        </w:rPr>
        <w:t>推动毗邻地区建设一批高能级服务业集聚平台，开展服务业对口合作共建。围绕集聚业态定位，加强上下游关联配套产业和配套基础设施建设，进一步完善公共服务平台，提升集聚区综合服务功能。加强产业集聚和资源整合力度，将服务业集聚区发展与各县、各园区的优势产业紧密结合，突出主导产业、首位产业的引领作用，</w:t>
      </w:r>
      <w:r>
        <w:rPr>
          <w:rFonts w:hint="default" w:ascii="Times New Roman" w:hAnsi="Times New Roman" w:cs="Times New Roman"/>
          <w:color w:val="auto"/>
        </w:rPr>
        <w:t>打造不同服务业重点领域集聚区，增强辐射能力，形成协同互动、各具特色</w:t>
      </w:r>
      <w:r>
        <w:rPr>
          <w:rFonts w:hint="default" w:ascii="Times New Roman" w:hAnsi="Times New Roman" w:cs="Times New Roman"/>
          <w:color w:val="auto"/>
          <w:lang w:val="en-US" w:eastAsia="zh-CN"/>
        </w:rPr>
        <w:t>的</w:t>
      </w:r>
      <w:r>
        <w:rPr>
          <w:rFonts w:hint="default" w:ascii="Times New Roman" w:hAnsi="Times New Roman" w:cs="Times New Roman"/>
          <w:color w:val="auto"/>
        </w:rPr>
        <w:t>服务业集聚区发展</w:t>
      </w:r>
      <w:r>
        <w:rPr>
          <w:rFonts w:hint="default" w:ascii="Times New Roman" w:hAnsi="Times New Roman" w:cs="Times New Roman"/>
          <w:color w:val="auto"/>
          <w:lang w:val="en-US" w:eastAsia="zh-CN"/>
        </w:rPr>
        <w:t>支撑体系</w:t>
      </w:r>
      <w:r>
        <w:rPr>
          <w:rFonts w:hint="default" w:ascii="Times New Roman" w:hAnsi="Times New Roman" w:cs="Times New Roman"/>
          <w:color w:val="auto"/>
          <w:lang w:eastAsia="zh-CN"/>
        </w:rPr>
        <w:t>。</w:t>
      </w:r>
    </w:p>
    <w:p>
      <w:pPr>
        <w:rPr>
          <w:rFonts w:hint="default" w:ascii="Times New Roman" w:hAnsi="Times New Roman" w:cs="Times New Roman"/>
          <w:color w:val="auto"/>
          <w:sz w:val="36"/>
          <w:szCs w:val="36"/>
          <w:highlight w:val="none"/>
          <w:lang w:val="en-US"/>
        </w:rPr>
      </w:pPr>
      <w:r>
        <w:rPr>
          <w:rFonts w:hint="default" w:ascii="Times New Roman" w:hAnsi="Times New Roman" w:cs="Times New Roman"/>
          <w:color w:val="auto"/>
          <w:sz w:val="36"/>
          <w:szCs w:val="36"/>
          <w:highlight w:val="none"/>
          <w:lang w:val="en-US"/>
        </w:rPr>
        <w:br w:type="page"/>
      </w:r>
    </w:p>
    <w:p>
      <w:pPr>
        <w:pStyle w:val="3"/>
        <w:pageBreakBefore w:val="0"/>
        <w:widowControl w:val="0"/>
        <w:kinsoku/>
        <w:wordWrap/>
        <w:overflowPunct/>
        <w:topLinePunct w:val="0"/>
        <w:autoSpaceDE w:val="0"/>
        <w:autoSpaceDN w:val="0"/>
        <w:bidi w:val="0"/>
        <w:adjustRightInd/>
        <w:snapToGrid/>
        <w:spacing w:before="312" w:after="312" w:line="600" w:lineRule="exact"/>
        <w:textAlignment w:val="auto"/>
        <w:rPr>
          <w:rFonts w:hint="eastAsia" w:ascii="Times New Roman" w:hAnsi="Times New Roman" w:eastAsia="黑体" w:cs="Times New Roman"/>
          <w:color w:val="auto"/>
          <w:sz w:val="36"/>
          <w:szCs w:val="36"/>
          <w:highlight w:val="none"/>
          <w:lang w:val="en-US" w:eastAsia="zh-CN"/>
        </w:rPr>
      </w:pPr>
      <w:bookmarkStart w:id="16" w:name="_Toc1381000224"/>
      <w:r>
        <w:rPr>
          <w:rFonts w:hint="default" w:ascii="Times New Roman" w:hAnsi="Times New Roman" w:cs="Times New Roman"/>
          <w:color w:val="auto"/>
          <w:sz w:val="36"/>
          <w:szCs w:val="36"/>
          <w:highlight w:val="none"/>
          <w:lang w:val="en-US" w:eastAsia="zh-CN"/>
        </w:rPr>
        <w:t>四、</w:t>
      </w:r>
      <w:bookmarkEnd w:id="16"/>
      <w:r>
        <w:rPr>
          <w:rFonts w:hint="eastAsia" w:ascii="Times New Roman" w:hAnsi="Times New Roman" w:cs="Times New Roman"/>
          <w:color w:val="auto"/>
          <w:sz w:val="36"/>
          <w:szCs w:val="36"/>
          <w:highlight w:val="none"/>
          <w:lang w:val="en-US" w:eastAsia="zh-CN"/>
        </w:rPr>
        <w:t>重点领域</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lang w:val="en-US"/>
        </w:rPr>
        <w:t>聚焦新模式、新业态，</w:t>
      </w:r>
      <w:r>
        <w:rPr>
          <w:rFonts w:hint="default" w:ascii="Times New Roman" w:hAnsi="Times New Roman" w:cs="Times New Roman"/>
          <w:color w:val="auto"/>
        </w:rPr>
        <w:t>以产业结构转型升级为动力，坚持生产性服务业与生活性服务业并重</w:t>
      </w:r>
      <w:r>
        <w:rPr>
          <w:rFonts w:hint="default" w:ascii="Times New Roman" w:hAnsi="Times New Roman" w:cs="Times New Roman"/>
          <w:color w:val="auto"/>
          <w:lang w:eastAsia="zh-CN"/>
        </w:rPr>
        <w:t>、</w:t>
      </w:r>
      <w:r>
        <w:rPr>
          <w:rFonts w:hint="default" w:ascii="Times New Roman" w:hAnsi="Times New Roman" w:cs="Times New Roman"/>
          <w:color w:val="auto"/>
        </w:rPr>
        <w:t>现代服务业与传统服务业并举，</w:t>
      </w:r>
      <w:r>
        <w:rPr>
          <w:rFonts w:hint="default" w:ascii="Times New Roman" w:hAnsi="Times New Roman" w:cs="Times New Roman"/>
          <w:color w:val="auto"/>
          <w:lang w:val="en-US" w:eastAsia="zh-CN"/>
        </w:rPr>
        <w:t>扩大服务业有效供给，</w:t>
      </w:r>
      <w:r>
        <w:rPr>
          <w:rFonts w:hint="default" w:ascii="Times New Roman" w:hAnsi="Times New Roman" w:cs="Times New Roman"/>
          <w:color w:val="auto"/>
          <w:lang w:val="en-US"/>
        </w:rPr>
        <w:t>实现高质量发展</w:t>
      </w:r>
      <w:r>
        <w:rPr>
          <w:rFonts w:hint="default" w:ascii="Times New Roman" w:hAnsi="Times New Roman" w:cs="Times New Roman"/>
          <w:color w:val="auto"/>
        </w:rPr>
        <w:t>，全面提升我市服务业发展综合竞争力。</w:t>
      </w:r>
      <w:bookmarkStart w:id="55" w:name="_GoBack"/>
      <w:bookmarkEnd w:id="55"/>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7" w:name="_Toc226976524"/>
      <w:r>
        <w:rPr>
          <w:rFonts w:hint="default" w:ascii="Times New Roman" w:hAnsi="Times New Roman" w:eastAsia="方正楷体_GBK" w:cs="Times New Roman"/>
          <w:b/>
          <w:bCs/>
          <w:color w:val="auto"/>
          <w:lang w:val="en-US" w:eastAsia="zh-CN"/>
        </w:rPr>
        <w:fldChar w:fldCharType="begin"/>
      </w:r>
      <w:r>
        <w:rPr>
          <w:rFonts w:hint="default" w:ascii="Times New Roman" w:hAnsi="Times New Roman" w:eastAsia="方正楷体_GBK" w:cs="Times New Roman"/>
          <w:b/>
          <w:bCs/>
          <w:color w:val="auto"/>
          <w:lang w:val="en-US" w:eastAsia="zh-CN"/>
        </w:rPr>
        <w:instrText xml:space="preserve"> HYPERLINK \l "_Toc20610" </w:instrText>
      </w:r>
      <w:r>
        <w:rPr>
          <w:rFonts w:hint="default" w:ascii="Times New Roman" w:hAnsi="Times New Roman" w:eastAsia="方正楷体_GBK" w:cs="Times New Roman"/>
          <w:b/>
          <w:bCs/>
          <w:color w:val="auto"/>
          <w:lang w:val="en-US" w:eastAsia="zh-CN"/>
        </w:rPr>
        <w:fldChar w:fldCharType="separate"/>
      </w:r>
      <w:r>
        <w:rPr>
          <w:rFonts w:hint="default" w:ascii="Times New Roman" w:hAnsi="Times New Roman" w:eastAsia="方正楷体_GBK" w:cs="Times New Roman"/>
          <w:b/>
          <w:bCs/>
          <w:color w:val="auto"/>
          <w:lang w:val="en-US" w:eastAsia="zh-CN"/>
        </w:rPr>
        <w:t>（一）生产性服务业</w:t>
      </w:r>
      <w:r>
        <w:rPr>
          <w:rFonts w:hint="default" w:ascii="Times New Roman" w:hAnsi="Times New Roman" w:eastAsia="方正楷体_GBK" w:cs="Times New Roman"/>
          <w:b/>
          <w:bCs/>
          <w:color w:val="auto"/>
          <w:lang w:val="en-US" w:eastAsia="zh-CN"/>
        </w:rPr>
        <w:fldChar w:fldCharType="end"/>
      </w:r>
      <w:bookmarkEnd w:id="17"/>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方正仿宋_GBK" w:cs="Times New Roman"/>
          <w:b/>
          <w:bCs/>
          <w:color w:val="auto"/>
          <w:lang w:val="en-US"/>
        </w:rPr>
      </w:pPr>
      <w:r>
        <w:rPr>
          <w:rFonts w:hint="default" w:ascii="Times New Roman" w:hAnsi="Times New Roman" w:eastAsia="方正仿宋_GBK" w:cs="Times New Roman"/>
          <w:b/>
          <w:bCs/>
          <w:color w:val="auto"/>
        </w:rPr>
        <w:fldChar w:fldCharType="begin"/>
      </w:r>
      <w:r>
        <w:rPr>
          <w:rFonts w:hint="default" w:ascii="Times New Roman" w:hAnsi="Times New Roman" w:eastAsia="方正仿宋_GBK" w:cs="Times New Roman"/>
          <w:b/>
          <w:bCs/>
          <w:color w:val="auto"/>
        </w:rPr>
        <w:instrText xml:space="preserve"> HYPERLINK \l "_Toc5850" </w:instrText>
      </w:r>
      <w:r>
        <w:rPr>
          <w:rFonts w:hint="default" w:ascii="Times New Roman" w:hAnsi="Times New Roman" w:eastAsia="方正仿宋_GBK" w:cs="Times New Roman"/>
          <w:b/>
          <w:bCs/>
          <w:color w:val="auto"/>
        </w:rPr>
        <w:fldChar w:fldCharType="separate"/>
      </w:r>
      <w:r>
        <w:rPr>
          <w:rFonts w:hint="default" w:ascii="Times New Roman" w:hAnsi="Times New Roman" w:eastAsia="方正仿宋_GBK" w:cs="Times New Roman"/>
          <w:b/>
          <w:bCs/>
          <w:color w:val="auto"/>
          <w:lang w:val="en-US"/>
        </w:rPr>
        <w:t>1.信息服务</w:t>
      </w:r>
      <w:r>
        <w:rPr>
          <w:rFonts w:hint="default" w:ascii="Times New Roman" w:hAnsi="Times New Roman" w:eastAsia="方正仿宋_GBK" w:cs="Times New Roman"/>
          <w:b/>
          <w:bCs/>
          <w:color w:val="auto"/>
          <w:lang w:val="en-US"/>
        </w:rPr>
        <w:fldChar w:fldCharType="end"/>
      </w:r>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以数字宿州建设为牵引，加快培育基于大数据、云计算、物联网等新技术的信息服务。大力发展云计算综合服务，完善大数据产业链，支持有条件的企业建设跨行业物联网运营和支撑平台。积极发展信息技术咨询、设计和运维服务，提升信息技术服务应用水平，扩大“中国云都”品牌效应。支持高新区加快推进建设软件产业园，培育和争创“中国软件名园”，加快培育引进一批具有生态主导力和核心竞争力的骨干企业。大力培育壮大数据采集存储、数据加工处理、数据交易流通等核心产业。抢抓杭州结对帮扶宿州机遇，在数字经济领域深度合作，加速形成一批数字合作载体，支持联合杭州争创全国一体化大数据中心长三角枢纽节点、数字经济和线上经济创新发展试验区建设。支持高新区发展数据要素市场，实施交易技术创新中心等重点项目。聚焦电子商务、物流服务、工业互联网等重点领域，强化招引力度，培育平台型企业，支持传统行业龙头企业向专业化平台型公司转型发展。到2025年，信息传输、软件和信息技术服务业增加值占GDP比重达到3.5%以上。力争培育大数据企业200家以上，培育行业型、专业型、区域型工业互联网平台2-3家，企业级平台10家左右。</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方正仿宋_GBK" w:cs="Times New Roman"/>
          <w:b/>
          <w:bCs/>
          <w:color w:val="auto"/>
          <w:lang w:val="en-US"/>
        </w:rPr>
      </w:pPr>
      <w:r>
        <w:rPr>
          <w:rFonts w:hint="default" w:ascii="Times New Roman" w:hAnsi="Times New Roman" w:eastAsia="方正仿宋_GBK" w:cs="Times New Roman"/>
          <w:b/>
          <w:bCs/>
          <w:color w:val="auto"/>
        </w:rPr>
        <w:fldChar w:fldCharType="begin"/>
      </w:r>
      <w:r>
        <w:rPr>
          <w:rFonts w:hint="default" w:ascii="Times New Roman" w:hAnsi="Times New Roman" w:eastAsia="方正仿宋_GBK" w:cs="Times New Roman"/>
          <w:b/>
          <w:bCs/>
          <w:color w:val="auto"/>
        </w:rPr>
        <w:instrText xml:space="preserve"> HYPERLINK \l "_Toc23966" </w:instrText>
      </w:r>
      <w:r>
        <w:rPr>
          <w:rFonts w:hint="default" w:ascii="Times New Roman" w:hAnsi="Times New Roman" w:eastAsia="方正仿宋_GBK" w:cs="Times New Roman"/>
          <w:b/>
          <w:bCs/>
          <w:color w:val="auto"/>
        </w:rPr>
        <w:fldChar w:fldCharType="separate"/>
      </w:r>
      <w:r>
        <w:rPr>
          <w:rFonts w:hint="default" w:ascii="Times New Roman" w:hAnsi="Times New Roman" w:eastAsia="方正仿宋_GBK" w:cs="Times New Roman"/>
          <w:b/>
          <w:bCs/>
          <w:color w:val="auto"/>
          <w:lang w:val="en-US"/>
        </w:rPr>
        <w:t>2.现代物流</w:t>
      </w:r>
      <w:r>
        <w:rPr>
          <w:rFonts w:hint="default" w:ascii="Times New Roman" w:hAnsi="Times New Roman" w:eastAsia="方正仿宋_GBK" w:cs="Times New Roman"/>
          <w:b/>
          <w:bCs/>
          <w:color w:val="auto"/>
          <w:lang w:val="en-US"/>
        </w:rPr>
        <w:fldChar w:fldCharType="end"/>
      </w:r>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充分发挥承东启西、连南接北的省际交汇区位交通优势，推动物流提质增效降本，打造内外联通、安全高效的物流网络。围绕长三角区域现代物流基地建设，推动黄淮海物流产业园建设“一港十中心”，打造陆港型物流枢纽。宿州东部物流产业园建设宿马新汴河水运码头、临港物流中心、临空物流中心、蒿沟铁路货运物流中心等，打造生产服务型物流枢纽。宿州南部物流产业园建设宿南浍河水运码头、临港物流中心、新汴河-浍河航道联通工程等，打造港口型物流枢纽。推动县区、园区加快物流设施建设。抢抓宿州市被列入国家骨干冷链基地承载城市的机遇，推进宿州（砀山）产地型国家骨干冷链物流基地、黄淮海（宿州）销地型国家骨干冷链物流基地建设。每个县区至少布局建设1座产地冷链集配中心，服务长三角绿色农产品生产加工供应基地建设。积极发展“生鲜电商+冷链宅配”“中央厨房+食材冷链配送”等物流新模式。加快建设覆盖所有市场主体的宿州公共物流信息平台，推动生产端、消费端物流需求信息共享。建立现代物流统计体系。依托国家及省级示范物流园区、农产品批发市场等，在全市布局建设应急物流转运场站。到2025年，力争创建省级示范物流园区3-5家，创建国家骨干冷链物流基地1-2个，冷库总库容达到200万吨左右，布局建设应急物流转运场站3-5个。物流相关行业增加值达到400亿元，全市社会物流总费用与GDP比率降至12%。</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方正仿宋_GBK" w:cs="Times New Roman"/>
          <w:b/>
          <w:bCs/>
          <w:color w:val="auto"/>
          <w:lang w:val="en-US"/>
        </w:rPr>
      </w:pPr>
      <w:r>
        <w:rPr>
          <w:rFonts w:hint="default" w:ascii="Times New Roman" w:hAnsi="Times New Roman" w:eastAsia="方正仿宋_GBK" w:cs="Times New Roman"/>
          <w:b/>
          <w:bCs/>
          <w:color w:val="auto"/>
          <w:lang w:val="en-US" w:eastAsia="zh-CN"/>
        </w:rPr>
        <w:t>3</w:t>
      </w:r>
      <w:r>
        <w:rPr>
          <w:rFonts w:hint="default" w:ascii="Times New Roman" w:hAnsi="Times New Roman" w:eastAsia="方正仿宋_GBK" w:cs="Times New Roman"/>
          <w:b/>
          <w:bCs/>
          <w:color w:val="auto"/>
          <w:lang w:val="en-US"/>
        </w:rPr>
        <w:t>.电子商务</w:t>
      </w:r>
    </w:p>
    <w:p>
      <w:pPr>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eastAsia="仿宋_GB2312" w:cs="Times New Roman"/>
          <w:color w:val="auto"/>
          <w:u w:val="none"/>
          <w:lang w:val="en-US"/>
        </w:rPr>
      </w:pPr>
      <w:r>
        <w:rPr>
          <w:rFonts w:hint="default" w:ascii="Times New Roman" w:hAnsi="Times New Roman" w:cs="Times New Roman"/>
          <w:color w:val="auto"/>
          <w:u w:val="none"/>
          <w:lang w:val="en-US" w:eastAsia="zh-CN"/>
        </w:rPr>
        <w:t>培育和引进一批综合性电子商务平台和龙头企业，大力发展垂直电子商务交易平台、移动电子商务、</w:t>
      </w:r>
      <w:r>
        <w:rPr>
          <w:rFonts w:hint="default" w:ascii="Times New Roman" w:hAnsi="Times New Roman" w:cs="Times New Roman"/>
          <w:color w:val="auto"/>
          <w:u w:val="none"/>
          <w:lang w:val="en-US"/>
        </w:rPr>
        <w:t>个性化定制等新型电子商务模式。推动电商集聚发展，高标准规划建设电子商务产业园区，促进线上线下融合互动、平等竞争。加快“电商宿州”建设，建设全国重要的区域性电子商务基地。着力引导小微企业依托第三方电子商务平台开展业务，深化大中型企业电子商务应用，促进大宗原材料网上交易、工业产品网上定制、上下游关联企业协同发展。加强农产品上行服务能力建设和农村电商品牌建设，扩大农村产品网络销售，解决农副产品标准化、物流标准化、冷链仓储建设等关键问题，提升农村产品上行质效，发展农产品个性化定制服务。加强“电商+龙头企业+专业合作社+农户”模式推广，促进农村电商产销稳定。支持开展跨境电商业务，加快完善跨境电商通关、外汇支付、出口退税等便利化措施</w:t>
      </w:r>
      <w:r>
        <w:rPr>
          <w:rFonts w:hint="default" w:ascii="Times New Roman" w:hAnsi="Times New Roman" w:cs="Times New Roman"/>
          <w:color w:val="auto"/>
          <w:u w:val="none"/>
          <w:lang w:val="en-US" w:eastAsia="zh-CN"/>
        </w:rPr>
        <w:t>，</w:t>
      </w:r>
      <w:r>
        <w:rPr>
          <w:rFonts w:hint="default" w:ascii="Times New Roman" w:hAnsi="Times New Roman" w:cs="Times New Roman"/>
          <w:color w:val="auto"/>
          <w:u w:val="none"/>
          <w:lang w:val="en-US"/>
        </w:rPr>
        <w:t>打造跨境贸易电子商务基地</w:t>
      </w:r>
      <w:r>
        <w:rPr>
          <w:rFonts w:hint="default" w:ascii="Times New Roman" w:hAnsi="Times New Roman" w:cs="Times New Roman"/>
          <w:color w:val="auto"/>
          <w:u w:val="none"/>
          <w:lang w:val="en-US" w:eastAsia="zh-CN"/>
        </w:rPr>
        <w:t>，创建跨境电子商务综合试验区</w:t>
      </w:r>
      <w:r>
        <w:rPr>
          <w:rFonts w:hint="default" w:ascii="Times New Roman" w:hAnsi="Times New Roman" w:cs="Times New Roman"/>
          <w:color w:val="auto"/>
          <w:u w:val="none"/>
          <w:lang w:val="en-US"/>
        </w:rPr>
        <w:t>。</w:t>
      </w:r>
      <w:r>
        <w:rPr>
          <w:rFonts w:hint="default" w:ascii="Times New Roman" w:hAnsi="Times New Roman" w:cs="Times New Roman"/>
          <w:color w:val="auto"/>
          <w:u w:val="none"/>
          <w:lang w:val="en-US" w:eastAsia="zh-CN"/>
        </w:rPr>
        <w:t>鼓励直播电商、社交电商、社群电商等发展，</w:t>
      </w:r>
      <w:r>
        <w:rPr>
          <w:rFonts w:hint="default" w:ascii="Times New Roman" w:hAnsi="Times New Roman" w:cs="Times New Roman"/>
          <w:color w:val="auto"/>
          <w:u w:val="none"/>
          <w:lang w:val="en-US"/>
        </w:rPr>
        <w:t>培育一批带动力强、在全国、全省有重要影响力的电商企业。</w:t>
      </w:r>
      <w:r>
        <w:rPr>
          <w:rFonts w:hint="default" w:ascii="Times New Roman" w:hAnsi="Times New Roman" w:cs="Times New Roman"/>
          <w:color w:val="auto"/>
          <w:u w:val="none"/>
          <w:lang w:val="en-US" w:eastAsia="zh-CN"/>
        </w:rPr>
        <w:t>推动电子商务和快递协同发展，全市邮政、快递业务总量年均增长15%左右</w:t>
      </w:r>
      <w:r>
        <w:rPr>
          <w:rFonts w:hint="default" w:ascii="Times New Roman" w:hAnsi="Times New Roman" w:eastAsia="仿宋_GB2312" w:cs="Times New Roman"/>
          <w:color w:val="auto"/>
          <w:u w:val="none"/>
          <w:lang w:val="en-US" w:eastAsia="zh-CN"/>
        </w:rPr>
        <w:t>。</w:t>
      </w:r>
      <w:r>
        <w:rPr>
          <w:rFonts w:hint="default" w:ascii="Times New Roman" w:hAnsi="Times New Roman" w:eastAsia="仿宋_GB2312" w:cs="Times New Roman"/>
          <w:color w:val="auto"/>
          <w:u w:val="none"/>
          <w:lang w:val="en-US"/>
        </w:rPr>
        <w:t>到2025年，争创国家电子商务示范基地，</w:t>
      </w:r>
      <w:r>
        <w:rPr>
          <w:rFonts w:hint="default" w:ascii="Times New Roman" w:hAnsi="Times New Roman" w:cs="Times New Roman"/>
          <w:color w:val="auto"/>
          <w:u w:val="none"/>
          <w:lang w:val="en-US" w:eastAsia="zh-CN"/>
        </w:rPr>
        <w:t>培育20家省电子商务示范企业，电子商务营业收入突破1000亿元。</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b/>
          <w:bCs/>
          <w:color w:val="auto"/>
          <w:highlight w:val="none"/>
          <w:lang w:val="en-US"/>
        </w:rPr>
      </w:pPr>
      <w:r>
        <w:rPr>
          <w:rFonts w:hint="default" w:ascii="Times New Roman" w:hAnsi="Times New Roman" w:eastAsia="仿宋_GB2312" w:cs="Times New Roman"/>
          <w:color w:val="auto"/>
          <w:highlight w:val="none"/>
        </w:rPr>
        <w:fldChar w:fldCharType="begin"/>
      </w:r>
      <w:r>
        <w:rPr>
          <w:rFonts w:hint="default" w:ascii="Times New Roman" w:hAnsi="Times New Roman" w:eastAsia="仿宋_GB2312" w:cs="Times New Roman"/>
          <w:color w:val="auto"/>
          <w:highlight w:val="none"/>
        </w:rPr>
        <w:instrText xml:space="preserve"> HYPERLINK \l "_Toc13595" </w:instrText>
      </w:r>
      <w:r>
        <w:rPr>
          <w:rFonts w:hint="default" w:ascii="Times New Roman" w:hAnsi="Times New Roman" w:eastAsia="仿宋_GB2312" w:cs="Times New Roman"/>
          <w:color w:val="auto"/>
          <w:highlight w:val="none"/>
        </w:rPr>
        <w:fldChar w:fldCharType="separate"/>
      </w:r>
      <w:r>
        <w:rPr>
          <w:rFonts w:hint="default" w:ascii="Times New Roman" w:hAnsi="Times New Roman" w:cs="Times New Roman"/>
          <w:b/>
          <w:bCs/>
          <w:color w:val="auto"/>
          <w:highlight w:val="none"/>
          <w:lang w:val="en-US" w:eastAsia="zh-CN"/>
        </w:rPr>
        <w:t>4</w:t>
      </w:r>
      <w:r>
        <w:rPr>
          <w:rFonts w:hint="default" w:ascii="Times New Roman" w:hAnsi="Times New Roman" w:eastAsia="仿宋_GB2312" w:cs="Times New Roman"/>
          <w:b/>
          <w:bCs/>
          <w:color w:val="auto"/>
          <w:highlight w:val="none"/>
          <w:lang w:val="en-US"/>
        </w:rPr>
        <w:t>.科技服务</w:t>
      </w:r>
      <w:r>
        <w:rPr>
          <w:rFonts w:hint="default" w:ascii="Times New Roman" w:hAnsi="Times New Roman" w:eastAsia="仿宋_GB2312" w:cs="Times New Roman"/>
          <w:b/>
          <w:bCs/>
          <w:color w:val="auto"/>
          <w:highlight w:val="none"/>
          <w:lang w:val="en-US"/>
        </w:rPr>
        <w:fldChar w:fldCharType="end"/>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方正楷体_GBK" w:cs="Times New Roman"/>
          <w:color w:val="auto"/>
          <w:kern w:val="0"/>
          <w:sz w:val="28"/>
          <w:szCs w:val="28"/>
          <w:lang w:bidi="ar"/>
        </w:rPr>
      </w:pPr>
      <w:r>
        <w:rPr>
          <w:rFonts w:hint="default" w:ascii="Times New Roman" w:hAnsi="Times New Roman" w:eastAsia="方正仿宋_GBK" w:cs="Times New Roman"/>
          <w:color w:val="auto"/>
        </w:rPr>
        <w:t>围绕云计算、量子信息、生物医药、精准医疗、石墨烯、增材制造等领域，加快建设省级及以上工程技术研究中心、工程实验室。建立健全“张江创造+宿州制造”合作模式，以</w:t>
      </w:r>
      <w:r>
        <w:rPr>
          <w:rFonts w:hint="default" w:ascii="Times New Roman" w:hAnsi="Times New Roman" w:eastAsia="方正仿宋_GBK" w:cs="Times New Roman"/>
          <w:color w:val="auto"/>
          <w:lang w:val="en-US" w:eastAsia="zh-CN"/>
        </w:rPr>
        <w:t>建设</w:t>
      </w:r>
      <w:r>
        <w:rPr>
          <w:rFonts w:hint="default" w:ascii="Times New Roman" w:hAnsi="Times New Roman" w:eastAsia="方正仿宋_GBK" w:cs="Times New Roman"/>
          <w:color w:val="auto"/>
        </w:rPr>
        <w:t>中科大宿州技术转移中心为契机，</w:t>
      </w:r>
      <w:r>
        <w:rPr>
          <w:rFonts w:hint="default" w:ascii="Times New Roman" w:hAnsi="Times New Roman" w:eastAsia="方正仿宋_GBK" w:cs="Times New Roman"/>
          <w:color w:val="auto"/>
          <w:kern w:val="0"/>
          <w:szCs w:val="32"/>
          <w:lang w:bidi="ar"/>
        </w:rPr>
        <w:t>加快发展研究开发、技术转移转化、创业孵化等科技型服务业，建设综合性科技服务平台，大力引进和培育新型研发机构、检验检测机构。支持各开发区、特色产业基地、新型研发机构和龙头企业加快建设一批创新创业中心，打造区域性科技创新中心。支持在高新区等省级战新基地内布局建设科技服务业集聚区。引导发展创意设计、数字出版、动漫游戏、影视制作等数字创意产业，推动传统文化产业数字化转型，促进数字创意产业与相关产业交互赋能、融合渗透。加快宿州高新区数字小镇、宿马园区智能制造小镇建设。加速壮大</w:t>
      </w:r>
      <w:r>
        <w:rPr>
          <w:rFonts w:hint="default" w:ascii="Times New Roman" w:hAnsi="Times New Roman" w:eastAsia="方正仿宋_GBK" w:cs="Times New Roman"/>
          <w:color w:val="auto"/>
          <w:kern w:val="0"/>
          <w:szCs w:val="32"/>
          <w:lang w:val="en-US" w:eastAsia="zh-CN" w:bidi="ar"/>
        </w:rPr>
        <w:t>高新区</w:t>
      </w:r>
      <w:r>
        <w:rPr>
          <w:rFonts w:hint="default" w:ascii="Times New Roman" w:hAnsi="Times New Roman" w:eastAsia="方正仿宋_GBK" w:cs="Times New Roman"/>
          <w:color w:val="auto"/>
          <w:kern w:val="0"/>
          <w:szCs w:val="32"/>
          <w:lang w:bidi="ar"/>
        </w:rPr>
        <w:t>智能制造</w:t>
      </w:r>
      <w:r>
        <w:rPr>
          <w:rFonts w:hint="default" w:ascii="Times New Roman" w:hAnsi="Times New Roman" w:eastAsia="方正仿宋_GBK" w:cs="Times New Roman"/>
          <w:color w:val="auto"/>
          <w:kern w:val="0"/>
          <w:szCs w:val="32"/>
          <w:lang w:val="en-US" w:eastAsia="zh-CN" w:bidi="ar"/>
        </w:rPr>
        <w:t>产业</w:t>
      </w:r>
      <w:r>
        <w:rPr>
          <w:rFonts w:hint="default" w:ascii="Times New Roman" w:hAnsi="Times New Roman" w:eastAsia="方正仿宋_GBK" w:cs="Times New Roman"/>
          <w:color w:val="auto"/>
          <w:kern w:val="0"/>
          <w:szCs w:val="32"/>
          <w:lang w:bidi="ar"/>
        </w:rPr>
        <w:t>规模，加快形成可复制可推广</w:t>
      </w:r>
      <w:r>
        <w:rPr>
          <w:rFonts w:hint="default" w:ascii="Times New Roman" w:hAnsi="Times New Roman" w:eastAsia="方正仿宋_GBK" w:cs="Times New Roman"/>
          <w:color w:val="auto"/>
          <w:kern w:val="0"/>
          <w:szCs w:val="32"/>
          <w:lang w:val="en-US" w:eastAsia="zh-CN" w:bidi="ar"/>
        </w:rPr>
        <w:t>的</w:t>
      </w:r>
      <w:r>
        <w:rPr>
          <w:rFonts w:hint="default" w:ascii="Times New Roman" w:hAnsi="Times New Roman" w:eastAsia="方正仿宋_GBK" w:cs="Times New Roman"/>
          <w:color w:val="auto"/>
          <w:kern w:val="0"/>
          <w:szCs w:val="32"/>
          <w:lang w:bidi="ar"/>
        </w:rPr>
        <w:t>融合发展经验。支持高新区加快建设国家数字出版基地和动漫产业发展基地、省创意文化产业集聚发展（宿州）基地、国家“两业”融合试点区等。到2025年，争创省级科技服务业集聚区达到2-3家</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方正仿宋_GBK" w:cs="Times New Roman"/>
          <w:color w:val="auto"/>
          <w:kern w:val="0"/>
          <w:szCs w:val="32"/>
          <w:lang w:bidi="ar"/>
        </w:rPr>
        <w:t>新增新型研发机构10家以上，培育省工业设计中心10家左右</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方正仿宋_GBK" w:cs="Times New Roman"/>
          <w:color w:val="auto"/>
          <w:kern w:val="0"/>
          <w:szCs w:val="32"/>
          <w:lang w:bidi="ar"/>
        </w:rPr>
        <w:t>科学研究和技术服务业增加值占GDP比重达到3%。</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b/>
          <w:bCs/>
          <w:color w:val="auto"/>
          <w:lang w:val="en-US"/>
        </w:rPr>
      </w:pPr>
      <w:r>
        <w:rPr>
          <w:rFonts w:hint="default" w:ascii="Times New Roman" w:hAnsi="Times New Roman" w:cs="Times New Roman"/>
          <w:b/>
          <w:bCs/>
          <w:color w:val="auto"/>
          <w:u w:val="none"/>
          <w:lang w:val="en-US" w:eastAsia="zh-CN"/>
        </w:rPr>
        <w:t>5.</w:t>
      </w:r>
      <w:r>
        <w:rPr>
          <w:rFonts w:hint="default" w:ascii="Times New Roman" w:hAnsi="Times New Roman" w:eastAsia="仿宋_GB2312" w:cs="Times New Roman"/>
          <w:b/>
          <w:bCs/>
          <w:color w:val="auto"/>
          <w:u w:val="none"/>
          <w:lang w:val="en-US"/>
        </w:rPr>
        <w:t>金融服务</w:t>
      </w:r>
    </w:p>
    <w:p>
      <w:pPr>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kern w:val="0"/>
          <w:szCs w:val="32"/>
          <w:lang w:bidi="ar"/>
        </w:rPr>
        <w:t>加快推动金融业扩量增效，实现主要指标在全省争先进位。重点推动金融向制造业、科技创新、乡村振兴、民生保障等领域倾斜，用好新兴产业、信息化产业、城市更新、乡村振兴等4支市级引导基金，形成总规模200亿元的产业引导基金体系，基金带动项目、吸引企业、聚集人才的引领示范效应凸显。加快建好用好宿州“信易贷”平台，扩大信用贷款</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方正仿宋_GBK" w:cs="Times New Roman"/>
          <w:color w:val="auto"/>
          <w:kern w:val="0"/>
          <w:szCs w:val="32"/>
          <w:lang w:bidi="ar"/>
        </w:rPr>
        <w:t>特别是普惠小微信用贷款规模。加快推动企业上市倍增计划，新增上市企业3-5家。持续开展资本市场业务培训，扩大债券融资规模，大幅提升直接融资比重。支持各县、区</w:t>
      </w:r>
      <w:r>
        <w:rPr>
          <w:rFonts w:hint="default" w:ascii="Times New Roman" w:hAnsi="Times New Roman" w:eastAsia="方正仿宋_GBK" w:cs="Times New Roman"/>
          <w:color w:val="auto"/>
          <w:kern w:val="0"/>
          <w:szCs w:val="32"/>
          <w:lang w:val="en-US" w:eastAsia="zh-CN" w:bidi="ar"/>
        </w:rPr>
        <w:t>积极</w:t>
      </w:r>
      <w:r>
        <w:rPr>
          <w:rFonts w:hint="default" w:ascii="Times New Roman" w:hAnsi="Times New Roman" w:eastAsia="方正仿宋_GBK" w:cs="Times New Roman"/>
          <w:color w:val="auto"/>
          <w:kern w:val="0"/>
          <w:szCs w:val="32"/>
          <w:lang w:bidi="ar"/>
        </w:rPr>
        <w:t>申创金融服务乡村振兴改革试验区、绿色金融改革创新试验区。依托长三角区域绿色农产品加工供应基地，打造长三角区域绿色生态产品交易中心。加快谋划建设皖北生态农业等特色金融集聚区。深化金融改革开放，参与设立长三角一体化发展投资基金，积极对接建设虹桥国际开放枢纽金融贸易服务中心。加快引进境内外具有行业影响力的银行、保险、证券、基金等各类法人总部、区域总部、功能总部及后台服务机构入驻。培育本土品牌化金融机构。将村镇银行打造成为农村金融服务新生力量。重点培育大型融资担保集团，提高政府性担保机构服务实体经济发展能力。到2025年，金融业增加值达到210亿元，占GDP比重与全省差距大幅缩小2025年，省级金融服务业集聚区创建实现突破</w:t>
      </w:r>
      <w:r>
        <w:rPr>
          <w:rFonts w:hint="default" w:ascii="Times New Roman" w:hAnsi="Times New Roman" w:cs="Times New Roman"/>
          <w:color w:val="auto"/>
          <w:lang w:val="en-US" w:eastAsia="zh-CN"/>
        </w:rPr>
        <w:t>。</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b/>
          <w:bCs/>
          <w:color w:val="auto"/>
          <w:highlight w:val="none"/>
          <w:lang w:val="en-US" w:eastAsia="zh-CN"/>
        </w:rPr>
        <w:t>6</w:t>
      </w:r>
      <w:r>
        <w:rPr>
          <w:rFonts w:hint="default" w:ascii="Times New Roman" w:hAnsi="Times New Roman" w:eastAsia="仿宋_GB2312" w:cs="Times New Roman"/>
          <w:b/>
          <w:bCs/>
          <w:color w:val="auto"/>
          <w:highlight w:val="none"/>
          <w:lang w:val="en-US"/>
        </w:rPr>
        <w:t>.文化创意</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rPr>
        <w:t>牢牢把握文化产业跨界融合和数字化发展的新趋势，深化“文化+互联网”战略，充分发挥宿州市云计算、大数据产业基础优势，</w:t>
      </w:r>
      <w:r>
        <w:rPr>
          <w:rFonts w:hint="default" w:ascii="Times New Roman" w:hAnsi="Times New Roman" w:eastAsia="仿宋_GB2312" w:cs="Times New Roman"/>
          <w:color w:val="auto"/>
          <w:highlight w:val="none"/>
          <w:lang w:val="en-US" w:eastAsia="zh-CN"/>
        </w:rPr>
        <w:t>促进</w:t>
      </w:r>
      <w:r>
        <w:rPr>
          <w:rFonts w:hint="default" w:ascii="Times New Roman" w:hAnsi="Times New Roman" w:eastAsia="仿宋_GB2312" w:cs="Times New Roman"/>
          <w:color w:val="auto"/>
          <w:highlight w:val="none"/>
          <w:lang w:val="en-US"/>
        </w:rPr>
        <w:t>现代信息技术与文化创意产业融合</w:t>
      </w:r>
      <w:r>
        <w:rPr>
          <w:rFonts w:hint="default" w:ascii="Times New Roman" w:hAnsi="Times New Roman" w:eastAsia="仿宋_GB2312" w:cs="Times New Roman"/>
          <w:color w:val="auto"/>
          <w:highlight w:val="none"/>
          <w:lang w:val="en-US" w:eastAsia="zh-CN"/>
        </w:rPr>
        <w:t>，加快发展数字出版、网络视听、动漫制作、游戏竞技、创意设计等数字创意产业，推动广播影视、传统戏曲、工艺美术、印刷出版等传统特色文化产业数字化转型</w:t>
      </w:r>
      <w:r>
        <w:rPr>
          <w:rFonts w:hint="default" w:ascii="Times New Roman" w:hAnsi="Times New Roman" w:eastAsia="仿宋_GB2312" w:cs="Times New Roman"/>
          <w:color w:val="auto"/>
          <w:highlight w:val="none"/>
          <w:lang w:val="en-US"/>
        </w:rPr>
        <w:t>，</w:t>
      </w:r>
      <w:r>
        <w:rPr>
          <w:rFonts w:hint="default" w:ascii="Times New Roman" w:hAnsi="Times New Roman" w:eastAsia="仿宋_GB2312" w:cs="Times New Roman"/>
          <w:color w:val="auto"/>
          <w:lang w:val="en-US"/>
        </w:rPr>
        <w:t>培育一批音视频、数字化、体验式等新业态文化产业，打造集研发设计、运营推广、美术外包等行业于一体的游戏产业链和影视渲染集群。重点扶持原创和文化精品，延伸传统文创业态产业链，创新网络文化服务模式，繁荣文学、艺术、影视、创作等文化精品，培育具有民族特色、宿州特点的原创品牌。支持文化与科技、文化与互联网、文化与金融、文化与旅游等融合发展，鼓励制造业和其他服务业龙头企业跨界发展文化创意，推动文化创意在创意内容、生产组织、营销推广等领域的创新突破，拓展新型文化产品和服务。鼓励各类社会资本以产业投资基金和众筹等多种形式投资文化创意产业，支持文化创意企业向专、精、特、新方向发展，打造中小企业集群，鼓励组建以产业链、产品链、技术链为依托的文化创意产业集团和产业联盟，提高文化创意产业的综合竞争实力。</w:t>
      </w:r>
      <w:r>
        <w:rPr>
          <w:rFonts w:hint="default" w:ascii="Times New Roman" w:hAnsi="Times New Roman" w:eastAsia="仿宋_GB2312" w:cs="Times New Roman"/>
          <w:color w:val="auto"/>
          <w:lang w:val="en-US" w:eastAsia="zh-CN"/>
        </w:rPr>
        <w:t>鼓励专业农产品市场建设数字展览展示馆，推进特色农产品数字化宣传。</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7.商务服务</w:t>
      </w:r>
    </w:p>
    <w:p>
      <w:pPr>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eastAsia="仿宋_GB2312" w:cs="Times New Roman"/>
          <w:color w:val="auto"/>
        </w:rPr>
      </w:pPr>
      <w:r>
        <w:rPr>
          <w:rFonts w:hint="default" w:ascii="Times New Roman" w:hAnsi="Times New Roman" w:eastAsia="方正仿宋_GBK" w:cs="Times New Roman"/>
          <w:color w:val="auto"/>
          <w:kern w:val="0"/>
          <w:szCs w:val="32"/>
          <w:lang w:bidi="ar"/>
        </w:rPr>
        <w:t>坚持专业化、品牌化导向，吸引专业服务机构集聚</w:t>
      </w:r>
      <w:r>
        <w:rPr>
          <w:rFonts w:hint="default" w:ascii="Times New Roman" w:hAnsi="Times New Roman" w:eastAsia="方正仿宋_GBK" w:cs="Times New Roman"/>
          <w:color w:val="auto"/>
          <w:kern w:val="0"/>
          <w:szCs w:val="32"/>
          <w:lang w:val="en-US" w:eastAsia="zh-CN" w:bidi="ar"/>
        </w:rPr>
        <w:t>发展</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方正仿宋_GBK" w:cs="Times New Roman"/>
          <w:color w:val="auto"/>
          <w:kern w:val="0"/>
          <w:szCs w:val="32"/>
          <w:lang w:bidi="ar"/>
        </w:rPr>
        <w:t>大力发展工程设计、咨询评估、法律、会计审计、信用中介、检验检测认证等服务，加快培育有竞争力的服务机构，支持建设高端智库。引进培育平台型总部企业，支持开展跨区域经营。聚焦数字经济等新兴领域，引进成长快、前景好的龙头企业设立总部、研发中心。发展会展经济，支持各开发区、县区加快会展设施建设，推动展览、交易、会议等融合发展。办好云计算大数据大会、农产品暨农业产业化交易会等，拓展承办国际国内影响大、带动强、有名气的大会，积极主动承接浙沪苏大型产业合作会展活动，打造特色会展目的地</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方正仿宋_GBK" w:cs="Times New Roman"/>
          <w:color w:val="auto"/>
          <w:kern w:val="0"/>
          <w:szCs w:val="32"/>
          <w:lang w:bidi="ar"/>
        </w:rPr>
        <w:t>全市可供展览面积超过5万平方米。持续推进人才强市、技能宿州建设，加快建成1-2家主体功能突出、辐射范围广、带动作用强的人力资源服务产业园。依托大中专院校，面向先进制造业、现代物流等紧缺技术技能人才领域，力争建设</w:t>
      </w:r>
      <w:r>
        <w:rPr>
          <w:rFonts w:hint="default" w:ascii="Times New Roman" w:hAnsi="Times New Roman" w:eastAsia="方正仿宋_GBK" w:cs="Times New Roman"/>
          <w:color w:val="auto"/>
          <w:kern w:val="0"/>
          <w:szCs w:val="32"/>
          <w:lang w:val="en-US" w:eastAsia="zh-CN" w:bidi="ar"/>
        </w:rPr>
        <w:t>2-5</w:t>
      </w:r>
      <w:r>
        <w:rPr>
          <w:rFonts w:hint="default" w:ascii="Times New Roman" w:hAnsi="Times New Roman" w:eastAsia="方正仿宋_GBK" w:cs="Times New Roman"/>
          <w:color w:val="auto"/>
          <w:kern w:val="0"/>
          <w:szCs w:val="32"/>
          <w:lang w:bidi="ar"/>
        </w:rPr>
        <w:t>个左右高水平专业化产教融合实训基地，培育</w:t>
      </w:r>
      <w:r>
        <w:rPr>
          <w:rFonts w:hint="default" w:ascii="Times New Roman" w:hAnsi="Times New Roman" w:eastAsia="方正仿宋_GBK" w:cs="Times New Roman"/>
          <w:color w:val="auto"/>
          <w:kern w:val="0"/>
          <w:szCs w:val="32"/>
          <w:lang w:val="en-US" w:eastAsia="zh-CN" w:bidi="ar"/>
        </w:rPr>
        <w:t>1</w:t>
      </w:r>
      <w:r>
        <w:rPr>
          <w:rFonts w:hint="default" w:ascii="Times New Roman" w:hAnsi="Times New Roman" w:eastAsia="方正仿宋_GBK" w:cs="Times New Roman"/>
          <w:color w:val="auto"/>
          <w:kern w:val="0"/>
          <w:szCs w:val="32"/>
          <w:lang w:bidi="ar"/>
        </w:rPr>
        <w:t>0家产教融合型企业。加快发展节能环保技术、咨询、评估、检测和运营管理等服务。推广多种形式的合同能源管理模式。支持再制造旧件回收、产品营销、溯源等信息化管理系统和废弃物逆向物流交易平台建设，</w:t>
      </w:r>
      <w:r>
        <w:rPr>
          <w:rFonts w:hint="default" w:ascii="Times New Roman" w:hAnsi="Times New Roman" w:eastAsia="方正仿宋_GBK" w:cs="Times New Roman"/>
          <w:color w:val="auto"/>
        </w:rPr>
        <w:t>促进资源循环利用。</w:t>
      </w:r>
    </w:p>
    <w:tbl>
      <w:tblPr>
        <w:tblStyle w:val="22"/>
        <w:tblpPr w:leftFromText="180" w:rightFromText="180" w:vertAnchor="text" w:horzAnchor="page" w:tblpX="1463" w:tblpY="-20"/>
        <w:tblOverlap w:val="never"/>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20"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textAlignment w:val="auto"/>
              <w:rPr>
                <w:rFonts w:hint="default" w:ascii="Times New Roman" w:hAnsi="Times New Roman" w:cs="Times New Roman"/>
                <w:color w:val="auto"/>
                <w:lang w:val="en-US"/>
              </w:rPr>
            </w:pPr>
            <w:r>
              <w:rPr>
                <w:rFonts w:hint="default" w:ascii="Times New Roman" w:hAnsi="Times New Roman" w:eastAsia="黑体" w:cs="Times New Roman"/>
                <w:b/>
                <w:bCs/>
                <w:color w:val="auto"/>
                <w:sz w:val="24"/>
                <w:szCs w:val="24"/>
                <w:lang w:val="en-US"/>
              </w:rPr>
              <w:t>专栏</w:t>
            </w:r>
            <w:r>
              <w:rPr>
                <w:rFonts w:hint="default" w:ascii="Times New Roman" w:hAnsi="Times New Roman" w:eastAsia="黑体" w:cs="Times New Roman"/>
                <w:b/>
                <w:bCs/>
                <w:color w:val="auto"/>
                <w:sz w:val="24"/>
                <w:szCs w:val="24"/>
                <w:lang w:val="en-US" w:eastAsia="zh-CN"/>
              </w:rPr>
              <w:t>2</w:t>
            </w:r>
            <w:r>
              <w:rPr>
                <w:rFonts w:hint="default" w:ascii="Times New Roman" w:hAnsi="Times New Roman" w:eastAsia="黑体" w:cs="Times New Roman"/>
                <w:b/>
                <w:bCs/>
                <w:color w:val="auto"/>
                <w:sz w:val="24"/>
                <w:szCs w:val="24"/>
                <w:lang w:val="en-US"/>
              </w:rPr>
              <w:t>：</w:t>
            </w:r>
            <w:r>
              <w:rPr>
                <w:rFonts w:hint="default" w:ascii="Times New Roman" w:hAnsi="Times New Roman" w:eastAsia="黑体" w:cs="Times New Roman"/>
                <w:b/>
                <w:bCs/>
                <w:color w:val="auto"/>
                <w:kern w:val="2"/>
                <w:sz w:val="24"/>
                <w:szCs w:val="24"/>
                <w:lang w:val="en-US" w:bidi="ar-SA"/>
              </w:rPr>
              <w:t>宿州市“十四五”</w:t>
            </w:r>
            <w:r>
              <w:rPr>
                <w:rFonts w:hint="default" w:ascii="Times New Roman" w:hAnsi="Times New Roman" w:eastAsia="黑体" w:cs="Times New Roman"/>
                <w:b/>
                <w:bCs/>
                <w:color w:val="auto"/>
                <w:sz w:val="24"/>
                <w:szCs w:val="24"/>
                <w:lang w:val="en-US" w:eastAsia="zh-CN"/>
              </w:rPr>
              <w:t>生产性服务业</w:t>
            </w:r>
            <w:r>
              <w:rPr>
                <w:rFonts w:hint="default" w:ascii="Times New Roman" w:hAnsi="Times New Roman" w:eastAsia="黑体" w:cs="Times New Roman"/>
                <w:b/>
                <w:bCs/>
                <w:color w:val="auto"/>
                <w:sz w:val="24"/>
                <w:szCs w:val="24"/>
                <w:lang w:val="en-US"/>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0" w:hRule="atLeast"/>
        </w:trPr>
        <w:tc>
          <w:tcPr>
            <w:tcW w:w="9820"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eastAsia="zh-CN"/>
              </w:rPr>
              <w:t>信息服务：</w:t>
            </w:r>
            <w:r>
              <w:rPr>
                <w:rFonts w:hint="default" w:ascii="Times New Roman" w:hAnsi="Times New Roman" w:cs="Times New Roman" w:eastAsiaTheme="minorEastAsia"/>
                <w:color w:val="auto"/>
                <w:sz w:val="24"/>
                <w:szCs w:val="24"/>
                <w:lang w:val="en-US" w:eastAsia="zh-CN"/>
              </w:rPr>
              <w:t>宿州市“城市大脑”项目、市高新区5G及未来通信检测技术创新中心项目、宿马园区“数据湖”项目、市高新区华瑞公司数据中心（二期）、砀山县城市大脑建设项目、萧县智慧城市建设一期项目；</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宿州市“未来城市”项目、宿州市5G基站建设项目、市高新区数字小镇项目、市高新区腾讯未来城市联合创新中心项目、市高新区智慧城市5G示范区建设项目（一期）、泗县大数据中心项目、市高新区小型超算中心、市高新区量子通信研发平台、市高新区大数据协同安全创新产业生态基地项目、市高新区华瑞赛维5G实验室项目、砀山县智慧城市项目；</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宿州数字技术研究院、市高新区百度宿州AI创新中心项目、宿州市大数据中心安全系统与共享开放防护平台、宿州市工业互联网产业基础设施建设项目、市高新区大数据“城市超脑”集群项目、长三角（宿州）新经济联合创新中心项目、宿州市数字科技产业园项目、泗县中国信科集团5G产业园项目、泗县大数据城市超脑集群项目。</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现代物流：</w:t>
            </w:r>
            <w:r>
              <w:rPr>
                <w:rFonts w:hint="default" w:ascii="Times New Roman" w:hAnsi="Times New Roman" w:cs="Times New Roman" w:eastAsiaTheme="minorEastAsia"/>
                <w:color w:val="auto"/>
                <w:sz w:val="24"/>
                <w:szCs w:val="24"/>
                <w:lang w:val="en-US" w:eastAsia="zh-CN"/>
              </w:rPr>
              <w:t>黄淮海（宿州）智慧物流产业园、宿州东部物流产业园、宿州南部物流产业园；砀山综合物流园、萧县综合物流园、灵璧综合物流园、泗县综合物流园、宿徐毗邻区综合物流园；泗县徐洪河港口物流园；</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砀山县幕天电商冷链仓储物流、砀山冷链集配中心、萧县冷链物流项目、萧县公共配送中心项目、萧县云慧达物流仓储项目、灵璧县公共配送中心、灵璧县冷链物流中心项目、泗县公共配送中心、宿州百大农产品物流中心三期冷链物流项目、砀山全国快递服务现代农业示范基地；</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电子商务：</w:t>
            </w:r>
            <w:r>
              <w:rPr>
                <w:rFonts w:hint="default" w:ascii="Times New Roman" w:hAnsi="Times New Roman" w:cs="Times New Roman" w:eastAsiaTheme="minorEastAsia"/>
                <w:color w:val="auto"/>
                <w:sz w:val="24"/>
                <w:szCs w:val="24"/>
                <w:lang w:val="en-US" w:eastAsia="zh-CN"/>
              </w:rPr>
              <w:t>灵璧县颐高电商园、市高新区跨境电商产业园</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科技服务：</w:t>
            </w:r>
            <w:r>
              <w:rPr>
                <w:rFonts w:hint="default" w:ascii="Times New Roman" w:hAnsi="Times New Roman" w:cs="Times New Roman" w:eastAsiaTheme="minorEastAsia"/>
                <w:color w:val="auto"/>
                <w:sz w:val="24"/>
                <w:szCs w:val="24"/>
                <w:lang w:val="en-US" w:eastAsia="zh-CN"/>
              </w:rPr>
              <w:t>淮海现代农业研究中心、安徽省微生物药物工程研究中心、灵璧洛阳轴承研发检测中心、石墨烯复合功能薄膜新材料工程实验室、市经开区环保科研中心、埇桥区循环园科创中心项目。</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文化创意：</w:t>
            </w:r>
            <w:r>
              <w:rPr>
                <w:rFonts w:hint="default" w:ascii="Times New Roman" w:hAnsi="Times New Roman" w:cs="Times New Roman" w:eastAsiaTheme="minorEastAsia"/>
                <w:color w:val="auto"/>
                <w:sz w:val="24"/>
                <w:szCs w:val="24"/>
                <w:lang w:val="en-US" w:eastAsia="zh-CN"/>
              </w:rPr>
              <w:t>宿州砀山酥梨小镇、宿州五柳省级风景名胜区改造提升、宿州中华孝文化园</w:t>
            </w:r>
          </w:p>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textAlignment w:val="auto"/>
              <w:rPr>
                <w:rFonts w:hint="default" w:ascii="Times New Roman" w:hAnsi="Times New Roman" w:cs="Times New Roman" w:eastAsiaTheme="minorEastAsia"/>
                <w:color w:val="auto"/>
                <w:sz w:val="24"/>
                <w:szCs w:val="24"/>
                <w:lang w:val="en-US"/>
              </w:rPr>
            </w:pPr>
            <w:r>
              <w:rPr>
                <w:rFonts w:hint="default" w:ascii="Times New Roman" w:hAnsi="Times New Roman" w:cs="Times New Roman" w:eastAsiaTheme="minorEastAsia"/>
                <w:b/>
                <w:bCs/>
                <w:color w:val="auto"/>
                <w:sz w:val="24"/>
                <w:szCs w:val="24"/>
                <w:lang w:val="en-US" w:eastAsia="zh-CN"/>
              </w:rPr>
              <w:t>商务服务：</w:t>
            </w:r>
            <w:r>
              <w:rPr>
                <w:rFonts w:hint="default" w:ascii="Times New Roman" w:hAnsi="Times New Roman" w:cs="Times New Roman" w:eastAsiaTheme="minorEastAsia"/>
                <w:color w:val="auto"/>
                <w:sz w:val="24"/>
                <w:szCs w:val="24"/>
                <w:lang w:val="en-US" w:eastAsia="zh-CN"/>
              </w:rPr>
              <w:t>萧县人力资源产业园、泗县人力资源产业园；市经开区电子气体检测中心项目；宿州市国际会展中心。</w:t>
            </w:r>
          </w:p>
        </w:tc>
      </w:tr>
    </w:tbl>
    <w:p>
      <w:pPr>
        <w:pageBreakBefore w:val="0"/>
        <w:kinsoku/>
        <w:wordWrap/>
        <w:overflowPunct/>
        <w:topLinePunct w:val="0"/>
        <w:bidi w:val="0"/>
        <w:adjustRightInd/>
        <w:snapToGrid/>
        <w:spacing w:line="600" w:lineRule="exact"/>
        <w:ind w:firstLine="643"/>
        <w:textAlignment w:val="auto"/>
        <w:rPr>
          <w:rFonts w:hint="default" w:ascii="Times New Roman" w:hAnsi="Times New Roman" w:cs="Times New Roman"/>
          <w:color w:val="auto"/>
        </w:rPr>
      </w:pP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8" w:name="_Toc728716092"/>
      <w:r>
        <w:rPr>
          <w:rFonts w:hint="default" w:ascii="Times New Roman" w:hAnsi="Times New Roman" w:eastAsia="方正楷体_GBK" w:cs="Times New Roman"/>
          <w:b/>
          <w:bCs/>
          <w:color w:val="auto"/>
          <w:lang w:val="en-US" w:eastAsia="zh-CN"/>
        </w:rPr>
        <w:fldChar w:fldCharType="begin"/>
      </w:r>
      <w:r>
        <w:rPr>
          <w:rFonts w:hint="default" w:ascii="Times New Roman" w:hAnsi="Times New Roman" w:eastAsia="方正楷体_GBK" w:cs="Times New Roman"/>
          <w:b/>
          <w:bCs/>
          <w:color w:val="auto"/>
          <w:lang w:val="en-US" w:eastAsia="zh-CN"/>
        </w:rPr>
        <w:instrText xml:space="preserve"> HYPERLINK \l "_Toc10696" </w:instrText>
      </w:r>
      <w:r>
        <w:rPr>
          <w:rFonts w:hint="default" w:ascii="Times New Roman" w:hAnsi="Times New Roman" w:eastAsia="方正楷体_GBK" w:cs="Times New Roman"/>
          <w:b/>
          <w:bCs/>
          <w:color w:val="auto"/>
          <w:lang w:val="en-US" w:eastAsia="zh-CN"/>
        </w:rPr>
        <w:fldChar w:fldCharType="separate"/>
      </w:r>
      <w:r>
        <w:rPr>
          <w:rFonts w:hint="default" w:ascii="Times New Roman" w:hAnsi="Times New Roman" w:eastAsia="方正楷体_GBK" w:cs="Times New Roman"/>
          <w:b/>
          <w:bCs/>
          <w:color w:val="auto"/>
          <w:lang w:val="en-US" w:eastAsia="zh-CN"/>
        </w:rPr>
        <w:t>（二）生活性服务业</w:t>
      </w:r>
      <w:r>
        <w:rPr>
          <w:rFonts w:hint="default" w:ascii="Times New Roman" w:hAnsi="Times New Roman" w:eastAsia="方正楷体_GBK" w:cs="Times New Roman"/>
          <w:b/>
          <w:bCs/>
          <w:color w:val="auto"/>
          <w:lang w:val="en-US" w:eastAsia="zh-CN"/>
        </w:rPr>
        <w:fldChar w:fldCharType="end"/>
      </w:r>
      <w:bookmarkEnd w:id="18"/>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b/>
          <w:bCs/>
          <w:color w:val="auto"/>
          <w:lang w:val="en-US" w:eastAsia="zh-CN"/>
        </w:rPr>
      </w:pPr>
      <w:r>
        <w:rPr>
          <w:rFonts w:hint="default" w:ascii="Times New Roman" w:hAnsi="Times New Roman" w:eastAsia="仿宋_GB2312" w:cs="Times New Roman"/>
          <w:b/>
          <w:bCs/>
          <w:color w:val="auto"/>
          <w:lang w:val="en-US"/>
        </w:rPr>
        <w:t>1.</w:t>
      </w:r>
      <w:r>
        <w:rPr>
          <w:rFonts w:hint="default" w:ascii="Times New Roman" w:hAnsi="Times New Roman" w:cs="Times New Roman"/>
          <w:b/>
          <w:bCs/>
          <w:color w:val="auto"/>
          <w:lang w:val="en-US" w:eastAsia="zh-CN"/>
        </w:rPr>
        <w:t>养老育幼</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rPr>
        <w:t>准确把握人口发展趋势，聚焦“一老一小”服务保障，全面放开养老育幼市场，丰富服务供给，加快构建居家社区机构相协调、医养康养相结合的养老服务体系和主体多元、形式多样、政策完备、应护尽护的婴幼儿照护服务体系。大力发展居家社区养老，加快发展智慧养老，探索发展互助性养老，推动养老服务向精神慰藉、康复护理、紧急救援、临终关怀等领域延伸。</w:t>
      </w:r>
      <w:r>
        <w:rPr>
          <w:rFonts w:hint="default" w:ascii="Times New Roman" w:hAnsi="Times New Roman" w:eastAsia="方正仿宋_GBK" w:cs="Times New Roman"/>
          <w:color w:val="auto"/>
          <w:kern w:val="0"/>
          <w:szCs w:val="32"/>
          <w:lang w:bidi="ar"/>
        </w:rPr>
        <w:t>积极申报实施康养联合体试点</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方正仿宋_GBK" w:cs="Times New Roman"/>
          <w:color w:val="auto"/>
          <w:kern w:val="0"/>
          <w:szCs w:val="32"/>
          <w:lang w:bidi="ar"/>
        </w:rPr>
        <w:t>推动发展农村普惠型养老服务和互助性养老</w:t>
      </w:r>
      <w:r>
        <w:rPr>
          <w:rFonts w:hint="default" w:ascii="Times New Roman" w:hAnsi="Times New Roman" w:eastAsia="方正仿宋_GBK" w:cs="Times New Roman"/>
          <w:color w:val="auto"/>
          <w:kern w:val="0"/>
          <w:szCs w:val="32"/>
          <w:lang w:eastAsia="zh-CN" w:bidi="ar"/>
        </w:rPr>
        <w:t>，</w:t>
      </w:r>
      <w:r>
        <w:rPr>
          <w:rFonts w:hint="default" w:ascii="Times New Roman" w:hAnsi="Times New Roman" w:eastAsia="仿宋_GB2312" w:cs="Times New Roman"/>
          <w:color w:val="auto"/>
          <w:lang w:val="en-US"/>
        </w:rPr>
        <w:t>提升农村养老服务能力。实施托育设施建设工程，引导社会力量发展普惠性托育服务，鼓励发展集中托育、育儿指导、养护培训等育幼服务，推进品牌化、连锁化发展。“十四五”期间，社区养老服务配建设施达标率达到100%</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rPr>
        <w:t>每年建成2—3个示范性托育服务机构，各县（区）每年至少建成1个普惠性托育服务机构。</w:t>
      </w:r>
    </w:p>
    <w:p>
      <w:pPr>
        <w:keepNext w:val="0"/>
        <w:keepLines w:val="0"/>
        <w:pageBreakBefore w:val="0"/>
        <w:widowControl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b/>
          <w:bCs/>
          <w:color w:val="auto"/>
          <w:highlight w:val="none"/>
          <w:lang w:val="en-US"/>
        </w:rPr>
      </w:pPr>
      <w:r>
        <w:rPr>
          <w:rFonts w:hint="default" w:ascii="Times New Roman" w:hAnsi="Times New Roman" w:cs="Times New Roman"/>
          <w:b/>
          <w:bCs/>
          <w:color w:val="auto"/>
          <w:highlight w:val="none"/>
          <w:lang w:val="en-US" w:eastAsia="zh-CN"/>
        </w:rPr>
        <w:t>2</w:t>
      </w:r>
      <w:r>
        <w:rPr>
          <w:rFonts w:hint="default" w:ascii="Times New Roman" w:hAnsi="Times New Roman" w:eastAsia="仿宋_GB2312" w:cs="Times New Roman"/>
          <w:b/>
          <w:bCs/>
          <w:color w:val="auto"/>
          <w:highlight w:val="none"/>
          <w:lang w:val="en-US"/>
        </w:rPr>
        <w:t>.</w:t>
      </w:r>
      <w:r>
        <w:rPr>
          <w:rFonts w:hint="default" w:ascii="Times New Roman" w:hAnsi="Times New Roman" w:eastAsia="仿宋_GB2312" w:cs="Times New Roman"/>
          <w:b/>
          <w:bCs/>
          <w:color w:val="auto"/>
          <w:highlight w:val="none"/>
          <w:lang w:val="en-US" w:eastAsia="zh-CN"/>
        </w:rPr>
        <w:t>文化</w:t>
      </w:r>
      <w:r>
        <w:rPr>
          <w:rFonts w:hint="default" w:ascii="Times New Roman" w:hAnsi="Times New Roman" w:eastAsia="仿宋_GB2312" w:cs="Times New Roman"/>
          <w:b/>
          <w:bCs/>
          <w:color w:val="auto"/>
          <w:highlight w:val="none"/>
          <w:lang w:val="en-US"/>
        </w:rPr>
        <w:t>旅游</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方正仿宋_GBK" w:cs="Times New Roman"/>
          <w:color w:val="auto"/>
          <w:kern w:val="0"/>
          <w:szCs w:val="32"/>
          <w:lang w:bidi="ar"/>
        </w:rPr>
      </w:pPr>
      <w:r>
        <w:rPr>
          <w:rFonts w:hint="default" w:ascii="Times New Roman" w:hAnsi="Times New Roman" w:eastAsia="方正仿宋_GBK" w:cs="Times New Roman"/>
          <w:color w:val="auto"/>
          <w:kern w:val="0"/>
          <w:szCs w:val="32"/>
          <w:lang w:bidi="ar"/>
        </w:rPr>
        <w:t>推动旅游资源开发集约化、产品多样化、服务优质化。积极发展城市休闲旅游和乡村旅游，提升宿州旅游品牌知名度影响力，建设旅游强市。加快推进砀山县创建省级全域旅游示范区。围绕运河文化、淮河文化、楚汉文化、红色文化、孝贤文化等打造文化品牌，聚焦萧县皇藏峪、砀山梨园花海、灵璧虞姬墓、泗县石龙湖、埇桥大五柳等重点资源，推进文化旅游产业融合发展。大力发展萧县蔡洼淮海战役红色旅游景区、埇桥区栏杆石相皖东北抗日革命根据地等红色旅游。打造符离大道生态文化旅游带、新汴河生态文化走廊等“一带一廊”，开发楚风汉韵风情游、梨乡果海生态游、文化遗产研学游、历史战争溯源游、埇桥诗意乡村之旅、灵璧文化发现之旅、泗县运河风情之旅、萧县汉韵美食之旅、砀山花海运动之旅等精品线路。加快乡村旅游产品开发，对乡村旅游点位进行“微创意、微改造”，创建一批乡村旅游名镇、示范村、示范点，争创省级百佳乡村旅游目的地。推动“文旅+”融合发展，争创一批省级文化产业示范基地、示范园区，到2025年，旅游总收入超过250亿元</w:t>
      </w:r>
      <w:r>
        <w:rPr>
          <w:rFonts w:hint="default" w:ascii="Times New Roman" w:hAnsi="Times New Roman" w:eastAsia="方正楷体_GBK" w:cs="Times New Roman"/>
          <w:color w:val="auto"/>
          <w:kern w:val="0"/>
          <w:sz w:val="28"/>
          <w:szCs w:val="28"/>
          <w:lang w:bidi="ar"/>
        </w:rPr>
        <w:t>，</w:t>
      </w:r>
      <w:r>
        <w:rPr>
          <w:rFonts w:hint="default" w:ascii="Times New Roman" w:hAnsi="Times New Roman" w:eastAsia="方正仿宋_GBK" w:cs="Times New Roman"/>
          <w:color w:val="auto"/>
          <w:kern w:val="0"/>
          <w:szCs w:val="32"/>
          <w:lang w:bidi="ar"/>
        </w:rPr>
        <w:t>旅游业对经济和就业的综合贡献率达到全省平均水平。</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b/>
          <w:bCs/>
          <w:color w:val="auto"/>
          <w:lang w:val="en-US"/>
        </w:rPr>
      </w:pPr>
      <w:r>
        <w:rPr>
          <w:rFonts w:hint="default" w:ascii="Times New Roman" w:hAnsi="Times New Roman" w:cs="Times New Roman"/>
          <w:b/>
          <w:bCs/>
          <w:color w:val="auto"/>
          <w:lang w:val="en-US" w:eastAsia="zh-CN"/>
        </w:rPr>
        <w:t>3</w:t>
      </w:r>
      <w:r>
        <w:rPr>
          <w:rFonts w:hint="default" w:ascii="Times New Roman" w:hAnsi="Times New Roman" w:eastAsia="仿宋_GB2312" w:cs="Times New Roman"/>
          <w:b/>
          <w:bCs/>
          <w:color w:val="auto"/>
          <w:lang w:val="en-US"/>
        </w:rPr>
        <w:t>.现代商贸</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color w:val="auto"/>
          <w:lang w:val="en-US" w:eastAsia="zh-CN"/>
        </w:rPr>
      </w:pPr>
      <w:r>
        <w:rPr>
          <w:rFonts w:hint="default" w:ascii="Times New Roman" w:hAnsi="Times New Roman" w:eastAsia="方正仿宋_GBK" w:cs="Times New Roman"/>
          <w:color w:val="auto"/>
          <w:kern w:val="0"/>
          <w:szCs w:val="32"/>
          <w:lang w:bidi="ar"/>
        </w:rPr>
        <w:t>创新商贸业态，政策精准扶持，促进上下游、产供销有效衔接，抢占区域内贸市场，让宿州产品和服务区域知名、走向全国。围绕首位产业和主导产业，支持龙头企业牵头组建产业联盟，支持物流企业与制造企业协同共建供应链，力争引进和培育省级以上物流供应链创新示范企业2-3家。支持经开区建设生物医药供应基地，支持高新区建设省级跨境电商产业园，支持埇桥建设农产品供应基地、煤炭建材采购集散转运中心，支持萧县建设建材专业化市场，支持灵璧建设轴承产业专业化市场，推动砀山建设区域性果蔬专业市场，支持泗县做大做强农机汽车专业化市场。支持各开发区、县区和龙头企业建设线上线下融合的新消费体验馆、智慧街区商店。支持符离集烧鸡、砀山酥梨等特色农产品的生产加工企业通过创新产品、服务和营销方式扩大品牌影响力，增强品牌竞争力。到2025年，限上商贸流通企业达到1300家左右，培育年交易额超200亿元的商贸枢纽型市场3-5家左右，销售额过</w:t>
      </w:r>
      <w:r>
        <w:rPr>
          <w:rFonts w:hint="default" w:ascii="Times New Roman" w:hAnsi="Times New Roman" w:eastAsia="方正仿宋_GBK" w:cs="Times New Roman"/>
          <w:color w:val="auto"/>
          <w:kern w:val="0"/>
          <w:szCs w:val="32"/>
          <w:lang w:val="en-US" w:eastAsia="zh-CN" w:bidi="ar"/>
        </w:rPr>
        <w:t>2</w:t>
      </w:r>
      <w:r>
        <w:rPr>
          <w:rFonts w:hint="default" w:ascii="Times New Roman" w:hAnsi="Times New Roman" w:eastAsia="方正仿宋_GBK" w:cs="Times New Roman"/>
          <w:color w:val="auto"/>
          <w:kern w:val="0"/>
          <w:szCs w:val="32"/>
          <w:lang w:bidi="ar"/>
        </w:rPr>
        <w:t>0亿元商贸企业超过2-3家。</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b/>
          <w:bCs/>
          <w:color w:val="auto"/>
          <w:lang w:val="en-US"/>
        </w:rPr>
      </w:pPr>
      <w:r>
        <w:rPr>
          <w:rFonts w:hint="default" w:ascii="Times New Roman" w:hAnsi="Times New Roman" w:cs="Times New Roman"/>
          <w:b/>
          <w:bCs/>
          <w:color w:val="auto"/>
          <w:lang w:val="en-US" w:eastAsia="zh-CN"/>
        </w:rPr>
        <w:t>4</w:t>
      </w:r>
      <w:r>
        <w:rPr>
          <w:rFonts w:hint="default" w:ascii="Times New Roman" w:hAnsi="Times New Roman" w:eastAsia="仿宋_GB2312" w:cs="Times New Roman"/>
          <w:b/>
          <w:bCs/>
          <w:color w:val="auto"/>
          <w:lang w:val="en-US"/>
        </w:rPr>
        <w:t>.家庭服务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lang w:val="en-US"/>
        </w:rPr>
        <w:t>以满足居民多层次生活需求为导向，大着力发展家政服务、物业管理、家庭保洁、物流配送、废品回收</w:t>
      </w:r>
      <w:r>
        <w:rPr>
          <w:rFonts w:hint="default" w:ascii="Times New Roman" w:hAnsi="Times New Roman" w:cs="Times New Roman"/>
          <w:color w:val="auto"/>
          <w:lang w:val="en-US" w:eastAsia="zh-CN"/>
        </w:rPr>
        <w:t>、社区商业</w:t>
      </w:r>
      <w:r>
        <w:rPr>
          <w:rFonts w:hint="default" w:ascii="Times New Roman" w:hAnsi="Times New Roman" w:eastAsia="仿宋_GB2312" w:cs="Times New Roman"/>
          <w:color w:val="auto"/>
          <w:lang w:val="en-US"/>
        </w:rPr>
        <w:t>等业态，为人民群众提供丰富的家庭服务产品。加快建立供给充分、服务便捷、管理规范、覆盖城乡的家庭服务体系。引导社会资本投资家庭服务业，鼓励有条件的企业品牌化、连锁化发展，支持中小家庭服务企业专业化、特色化发展。鼓励家庭服务企业搭建信息服务平台，创新服务模式，健全服务网络，实现线上线下互促发展。加强服务规范化和职业化建设，</w:t>
      </w:r>
      <w:r>
        <w:rPr>
          <w:rFonts w:hint="default" w:ascii="Times New Roman" w:hAnsi="Times New Roman" w:cs="Times New Roman"/>
          <w:color w:val="auto"/>
          <w:lang w:val="en-US" w:eastAsia="zh-CN"/>
        </w:rPr>
        <w:t>支持</w:t>
      </w:r>
      <w:r>
        <w:rPr>
          <w:rFonts w:hint="default" w:ascii="Times New Roman" w:hAnsi="Times New Roman" w:eastAsia="仿宋_GB2312" w:cs="Times New Roman"/>
          <w:color w:val="auto"/>
          <w:lang w:val="en-US"/>
        </w:rPr>
        <w:t>技能培训机构资质认定</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rPr>
        <w:t>支持建设邻里中心或社区综合服务中心，完善社区菜店、快餐店、便利店、维修店、配送站等。加大政府购买力度，推进司法矫正、青少年服务、社会福利等专项社工服务。大力发展社区商贸服务业，支持商业连锁企业进入社区，助力“幸福宿州”建设。</w:t>
      </w:r>
      <w:r>
        <w:rPr>
          <w:rFonts w:hint="default" w:ascii="Times New Roman" w:hAnsi="Times New Roman" w:eastAsia="仿宋_GB2312" w:cs="Times New Roman"/>
          <w:color w:val="auto"/>
          <w:lang w:val="en-US" w:eastAsia="zh-CN"/>
        </w:rPr>
        <w:t>加强和规范物业等公益性、基础性服务业供给，</w:t>
      </w:r>
      <w:r>
        <w:rPr>
          <w:rFonts w:hint="default" w:ascii="Times New Roman" w:hAnsi="Times New Roman" w:eastAsia="仿宋_GB2312" w:cs="Times New Roman"/>
          <w:color w:val="auto"/>
          <w:lang w:val="en-US"/>
        </w:rPr>
        <w:t>提升物业管理水平</w:t>
      </w:r>
      <w:r>
        <w:rPr>
          <w:rFonts w:hint="default" w:ascii="Times New Roman" w:hAnsi="Times New Roman" w:eastAsia="仿宋_GB2312" w:cs="Times New Roman"/>
          <w:color w:val="auto"/>
          <w:lang w:val="en-US" w:eastAsia="zh-CN"/>
        </w:rPr>
        <w:t>和</w:t>
      </w:r>
      <w:r>
        <w:rPr>
          <w:rFonts w:hint="default" w:ascii="Times New Roman" w:hAnsi="Times New Roman" w:eastAsia="仿宋_GB2312" w:cs="Times New Roman"/>
          <w:color w:val="auto"/>
          <w:lang w:val="en-US"/>
        </w:rPr>
        <w:t>智能化</w:t>
      </w:r>
      <w:r>
        <w:rPr>
          <w:rFonts w:hint="default" w:ascii="Times New Roman" w:hAnsi="Times New Roman" w:eastAsia="仿宋_GB2312" w:cs="Times New Roman"/>
          <w:color w:val="auto"/>
          <w:lang w:val="en-US" w:eastAsia="zh-CN"/>
        </w:rPr>
        <w:t>水平</w:t>
      </w:r>
      <w:r>
        <w:rPr>
          <w:rFonts w:hint="default" w:ascii="Times New Roman" w:hAnsi="Times New Roman" w:eastAsia="仿宋_GB2312" w:cs="Times New Roman"/>
          <w:color w:val="auto"/>
          <w:lang w:val="en-US"/>
        </w:rPr>
        <w:t>。到2025年，全市基本建成供给充分、服务便捷、管理规范、覆盖城乡的家庭服务体系，人民群众的获得感、幸福感</w:t>
      </w:r>
      <w:r>
        <w:rPr>
          <w:rFonts w:hint="default" w:ascii="Times New Roman" w:hAnsi="Times New Roman" w:eastAsia="仿宋_GB2312" w:cs="Times New Roman"/>
          <w:color w:val="auto"/>
          <w:lang w:val="en-US" w:eastAsia="zh-CN"/>
        </w:rPr>
        <w:t>、安全感</w:t>
      </w:r>
      <w:r>
        <w:rPr>
          <w:rFonts w:hint="default" w:ascii="Times New Roman" w:hAnsi="Times New Roman" w:eastAsia="仿宋_GB2312" w:cs="Times New Roman"/>
          <w:color w:val="auto"/>
          <w:lang w:val="en-US"/>
        </w:rPr>
        <w:t>得到明显提升。</w:t>
      </w:r>
    </w:p>
    <w:p>
      <w:pPr>
        <w:keepNext w:val="0"/>
        <w:keepLines w:val="0"/>
        <w:pageBreakBefore w:val="0"/>
        <w:widowControl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b/>
          <w:bCs/>
          <w:color w:val="auto"/>
          <w:lang w:val="en-US"/>
        </w:rPr>
      </w:pPr>
      <w:r>
        <w:rPr>
          <w:rFonts w:hint="default" w:ascii="Times New Roman" w:hAnsi="Times New Roman" w:cs="Times New Roman"/>
          <w:b/>
          <w:bCs/>
          <w:color w:val="auto"/>
          <w:lang w:val="en-US" w:eastAsia="zh-CN"/>
        </w:rPr>
        <w:t>5</w:t>
      </w:r>
      <w:r>
        <w:rPr>
          <w:rFonts w:hint="default" w:ascii="Times New Roman" w:hAnsi="Times New Roman" w:eastAsia="仿宋_GB2312" w:cs="Times New Roman"/>
          <w:b/>
          <w:bCs/>
          <w:color w:val="auto"/>
          <w:lang w:val="en-US"/>
        </w:rPr>
        <w:t>.</w:t>
      </w:r>
      <w:r>
        <w:rPr>
          <w:rFonts w:hint="default" w:ascii="Times New Roman" w:hAnsi="Times New Roman" w:cs="Times New Roman"/>
          <w:b/>
          <w:bCs/>
          <w:color w:val="auto"/>
          <w:lang w:val="en-US" w:eastAsia="zh-CN"/>
        </w:rPr>
        <w:t>健康</w:t>
      </w:r>
      <w:r>
        <w:rPr>
          <w:rFonts w:hint="default" w:ascii="Times New Roman" w:hAnsi="Times New Roman" w:eastAsia="仿宋_GB2312" w:cs="Times New Roman"/>
          <w:b/>
          <w:bCs/>
          <w:color w:val="auto"/>
          <w:lang w:val="en-US"/>
        </w:rPr>
        <w:t>体育</w:t>
      </w:r>
    </w:p>
    <w:p>
      <w:pPr>
        <w:keepNext w:val="0"/>
        <w:keepLines w:val="0"/>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方正仿宋_GBK" w:cs="Times New Roman"/>
          <w:color w:val="auto"/>
          <w:kern w:val="0"/>
          <w:szCs w:val="32"/>
          <w:lang w:bidi="ar"/>
        </w:rPr>
      </w:pPr>
      <w:r>
        <w:rPr>
          <w:rFonts w:hint="default" w:ascii="Times New Roman" w:hAnsi="Times New Roman" w:eastAsia="方正仿宋_GBK" w:cs="Times New Roman"/>
          <w:color w:val="auto"/>
          <w:kern w:val="0"/>
          <w:szCs w:val="32"/>
          <w:lang w:bidi="ar"/>
        </w:rPr>
        <w:t>加快发展健康服务，全面提升医疗机构资源，推进长三角康养基地建设，支持宿马园区加快建设区域康养医疗中心。积极引进心血管、肿瘤、中医、神经等专科医疗机构入驻宿州。发展壮大体育服务，积极发展体育旅游、体育培训、健身休闲、场馆服务等服务业，推动“体育+”和“+体育”深度融合。积极发展手球、武术、马术等竞技运动项目，增强中国马术耐力锦标赛、宿州国际半程马拉松</w:t>
      </w:r>
      <w:r>
        <w:rPr>
          <w:rFonts w:hint="default" w:ascii="Times New Roman" w:hAnsi="Times New Roman" w:eastAsia="方正仿宋_GBK" w:cs="Times New Roman"/>
          <w:color w:val="auto"/>
          <w:kern w:val="0"/>
          <w:szCs w:val="32"/>
          <w:lang w:val="en-US" w:eastAsia="zh-CN" w:bidi="ar"/>
        </w:rPr>
        <w:t>赛</w:t>
      </w:r>
      <w:r>
        <w:rPr>
          <w:rFonts w:hint="default" w:ascii="Times New Roman" w:hAnsi="Times New Roman" w:eastAsia="方正仿宋_GBK" w:cs="Times New Roman"/>
          <w:color w:val="auto"/>
          <w:kern w:val="0"/>
          <w:szCs w:val="32"/>
          <w:lang w:bidi="ar"/>
        </w:rPr>
        <w:t>、宿州国际网球公开赛等国际品牌赛事影响力。推动体育产业基地、体育服务综合体等重大项目建设，加快市体校新校区、竞技体育训练基地建设，引进长三角优质体育资源合作办学，创建青少年校园足球特色学校。到2025年，</w:t>
      </w:r>
      <w:r>
        <w:rPr>
          <w:rFonts w:hint="default" w:ascii="Times New Roman" w:hAnsi="Times New Roman" w:eastAsia="仿宋_GB2312" w:cs="Times New Roman"/>
          <w:color w:val="auto"/>
          <w:lang w:val="en-US"/>
        </w:rPr>
        <w:t>体育公共服务基本实现全覆盖</w:t>
      </w:r>
      <w:r>
        <w:rPr>
          <w:rFonts w:hint="default" w:ascii="Times New Roman" w:hAnsi="Times New Roman" w:eastAsia="仿宋_GB2312" w:cs="Times New Roman"/>
          <w:color w:val="auto"/>
          <w:lang w:val="en-US" w:eastAsia="zh-CN"/>
        </w:rPr>
        <w:t>，</w:t>
      </w:r>
      <w:r>
        <w:rPr>
          <w:rFonts w:hint="default" w:ascii="Times New Roman" w:hAnsi="Times New Roman" w:eastAsia="方正仿宋_GBK" w:cs="Times New Roman"/>
          <w:color w:val="auto"/>
          <w:kern w:val="0"/>
          <w:szCs w:val="32"/>
          <w:lang w:bidi="ar"/>
        </w:rPr>
        <w:t>全市经常参加体育锻炼人口比例超过42%，体育产业总规模超100亿元。</w:t>
      </w:r>
    </w:p>
    <w:tbl>
      <w:tblPr>
        <w:tblStyle w:val="22"/>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20" w:type="dxa"/>
            <w:vAlign w:val="center"/>
          </w:tcPr>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center"/>
              <w:textAlignment w:val="auto"/>
              <w:rPr>
                <w:rFonts w:hint="default" w:ascii="Times New Roman" w:hAnsi="Times New Roman" w:cs="Times New Roman"/>
                <w:color w:val="auto"/>
                <w:kern w:val="2"/>
                <w:sz w:val="28"/>
                <w:szCs w:val="28"/>
                <w:lang w:val="en-US" w:bidi="ar-SA"/>
              </w:rPr>
            </w:pPr>
            <w:r>
              <w:rPr>
                <w:rFonts w:hint="default" w:ascii="Times New Roman" w:hAnsi="Times New Roman" w:eastAsia="黑体" w:cs="Times New Roman"/>
                <w:b/>
                <w:bCs/>
                <w:color w:val="auto"/>
                <w:kern w:val="2"/>
                <w:sz w:val="24"/>
                <w:szCs w:val="24"/>
                <w:lang w:val="en-US" w:bidi="ar-SA"/>
              </w:rPr>
              <w:t>专栏</w:t>
            </w:r>
            <w:r>
              <w:rPr>
                <w:rFonts w:hint="default" w:ascii="Times New Roman" w:hAnsi="Times New Roman" w:eastAsia="黑体" w:cs="Times New Roman"/>
                <w:b/>
                <w:bCs/>
                <w:color w:val="auto"/>
                <w:kern w:val="2"/>
                <w:sz w:val="24"/>
                <w:szCs w:val="24"/>
                <w:lang w:val="en-US" w:eastAsia="zh-CN" w:bidi="ar-SA"/>
              </w:rPr>
              <w:t>3</w:t>
            </w:r>
            <w:r>
              <w:rPr>
                <w:rFonts w:hint="default" w:ascii="Times New Roman" w:hAnsi="Times New Roman" w:eastAsia="黑体" w:cs="Times New Roman"/>
                <w:b/>
                <w:bCs/>
                <w:color w:val="auto"/>
                <w:kern w:val="2"/>
                <w:sz w:val="24"/>
                <w:szCs w:val="24"/>
                <w:lang w:val="en-US" w:bidi="ar-SA"/>
              </w:rPr>
              <w:t>：宿州市“十四五”生活性服务业重</w:t>
            </w:r>
            <w:r>
              <w:rPr>
                <w:rFonts w:hint="default" w:ascii="Times New Roman" w:hAnsi="Times New Roman" w:eastAsia="黑体" w:cs="Times New Roman"/>
                <w:b/>
                <w:bCs/>
                <w:color w:val="auto"/>
                <w:kern w:val="2"/>
                <w:sz w:val="24"/>
                <w:szCs w:val="24"/>
                <w:lang w:val="en-US" w:eastAsia="zh-CN" w:bidi="ar-SA"/>
              </w:rPr>
              <w:t>点</w:t>
            </w:r>
            <w:r>
              <w:rPr>
                <w:rFonts w:hint="default" w:ascii="Times New Roman" w:hAnsi="Times New Roman" w:eastAsia="黑体" w:cs="Times New Roman"/>
                <w:b/>
                <w:bCs/>
                <w:color w:val="auto"/>
                <w:kern w:val="2"/>
                <w:sz w:val="24"/>
                <w:szCs w:val="24"/>
                <w:lang w:val="en-US"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0" w:type="dxa"/>
            <w:vAlign w:val="center"/>
          </w:tcPr>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eastAsia="宋体" w:cs="Times New Roman"/>
                <w:b w:val="0"/>
                <w:bCs w:val="0"/>
                <w:color w:val="auto"/>
                <w:sz w:val="24"/>
                <w:szCs w:val="24"/>
                <w:lang w:val="en-US"/>
              </w:rPr>
            </w:pPr>
            <w:r>
              <w:rPr>
                <w:rFonts w:hint="default" w:ascii="Times New Roman" w:hAnsi="Times New Roman" w:eastAsia="宋体" w:cs="Times New Roman"/>
                <w:b/>
                <w:bCs/>
                <w:color w:val="auto"/>
                <w:kern w:val="2"/>
                <w:sz w:val="24"/>
                <w:szCs w:val="24"/>
                <w:lang w:val="en-US" w:bidi="ar-SA"/>
              </w:rPr>
              <w:t>健康养老：</w:t>
            </w:r>
            <w:r>
              <w:rPr>
                <w:rFonts w:hint="default" w:ascii="Times New Roman" w:hAnsi="Times New Roman" w:eastAsia="宋体" w:cs="Times New Roman"/>
                <w:b w:val="0"/>
                <w:bCs w:val="0"/>
                <w:color w:val="auto"/>
                <w:kern w:val="2"/>
                <w:sz w:val="24"/>
                <w:szCs w:val="24"/>
                <w:lang w:val="en-US" w:eastAsia="zh-CN" w:bidi="ar-SA"/>
              </w:rPr>
              <w:t>宿州华康养老服务中心、灵璧县老年养护院、灵璧县残疾人托养中心建设、皖北康养中心、泗县国际颐养城高端养老公寓、泗县康养中心、</w:t>
            </w:r>
            <w:r>
              <w:rPr>
                <w:rFonts w:hint="default" w:ascii="Times New Roman" w:hAnsi="Times New Roman" w:eastAsia="宋体" w:cs="Times New Roman"/>
                <w:b w:val="0"/>
                <w:bCs w:val="0"/>
                <w:color w:val="auto"/>
                <w:sz w:val="24"/>
                <w:szCs w:val="24"/>
                <w:lang w:val="en-US"/>
              </w:rPr>
              <w:t>社区养老服务平台、社区型养老照护中心。</w:t>
            </w:r>
          </w:p>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eastAsia="宋体" w:cs="Times New Roman"/>
                <w:b w:val="0"/>
                <w:bCs w:val="0"/>
                <w:color w:val="auto"/>
                <w:sz w:val="24"/>
                <w:szCs w:val="24"/>
                <w:lang w:val="en-US"/>
              </w:rPr>
            </w:pPr>
            <w:r>
              <w:rPr>
                <w:rFonts w:hint="default" w:ascii="Times New Roman" w:hAnsi="Times New Roman" w:eastAsia="宋体" w:cs="Times New Roman"/>
                <w:b/>
                <w:bCs/>
                <w:color w:val="auto"/>
                <w:kern w:val="2"/>
                <w:sz w:val="24"/>
                <w:szCs w:val="24"/>
                <w:lang w:val="en-US" w:bidi="ar-SA"/>
              </w:rPr>
              <w:t>文化</w:t>
            </w:r>
            <w:r>
              <w:rPr>
                <w:rFonts w:hint="default" w:ascii="Times New Roman" w:hAnsi="Times New Roman" w:eastAsia="宋体" w:cs="Times New Roman"/>
                <w:b/>
                <w:bCs/>
                <w:color w:val="auto"/>
                <w:sz w:val="24"/>
                <w:szCs w:val="24"/>
                <w:lang w:val="en-US"/>
              </w:rPr>
              <w:t>旅游：</w:t>
            </w:r>
            <w:r>
              <w:rPr>
                <w:rFonts w:hint="default" w:ascii="Times New Roman" w:hAnsi="Times New Roman" w:eastAsia="宋体" w:cs="Times New Roman"/>
                <w:b w:val="0"/>
                <w:bCs w:val="0"/>
                <w:color w:val="auto"/>
                <w:sz w:val="24"/>
                <w:szCs w:val="24"/>
                <w:lang w:val="en-US" w:eastAsia="zh-CN"/>
              </w:rPr>
              <w:t xml:space="preserve">砀山县皖北慢城项目、砀湖田园综合体项目、萧县皇藏峪5A级景区创建提升项目、萧县水墨圣泉小镇项目、灵璧磬云山国家地质自然公园核心区建设项目、泗县大运河国家文化公园、泗县大运河遗址公园、宿马园区文体中心、宿州新汴河景区综合提升暨度假区创建项目、高新区长三角（宿州）文化旅游创意产业园；宿州市美术馆项目、萧县蔡洼红色旅游景区 4A 级创建提升项目、萧县龙城画派萧窑瓷艺文旅项目、埇桥区符离片区景观提升项目、宿州野生动物园 4A 级景观提升项目、埇桥现代农业主题公园 4A 级景观提升项目、埇桥五柳 4A 级景区建设项目、泗县石龙湖国家湿地公园项目；宿州运河博物馆及大运河考古遗址展示工程、宿州市大戏楼、宿州市群众文化艺术馆、灵璧县花石纲遗址保护项目、灵璧县奇石小镇创建项目、泗县美术馆。 </w:t>
            </w:r>
          </w:p>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bCs/>
                <w:color w:val="auto"/>
                <w:kern w:val="2"/>
                <w:sz w:val="24"/>
                <w:szCs w:val="24"/>
                <w:lang w:val="en-US" w:bidi="ar-SA"/>
              </w:rPr>
              <w:t>现代商贸：</w:t>
            </w:r>
            <w:r>
              <w:rPr>
                <w:rFonts w:hint="default" w:ascii="Times New Roman" w:hAnsi="Times New Roman" w:eastAsia="宋体" w:cs="Times New Roman"/>
                <w:b w:val="0"/>
                <w:bCs w:val="0"/>
                <w:color w:val="auto"/>
                <w:kern w:val="2"/>
                <w:sz w:val="24"/>
                <w:szCs w:val="24"/>
                <w:lang w:val="en-US" w:eastAsia="zh-CN" w:bidi="ar-SA"/>
              </w:rPr>
              <w:t>灵</w:t>
            </w:r>
            <w:r>
              <w:rPr>
                <w:rFonts w:hint="default" w:ascii="Times New Roman" w:hAnsi="Times New Roman" w:eastAsia="宋体" w:cs="Times New Roman"/>
                <w:color w:val="auto"/>
                <w:sz w:val="24"/>
                <w:szCs w:val="24"/>
                <w:lang w:val="en-US" w:eastAsia="zh-CN"/>
              </w:rPr>
              <w:t>璧县翔茂中心商业综合体、泗县建材大市场项目、泗县北部新城中央商务区、萧县农产品批发市场项目、灵璧县农副产品批发大市场、新发地泗县农副产品批发市场、泗县深蓝中心城市综合体、砀山亚琦国际物流商贸城。</w:t>
            </w:r>
          </w:p>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eastAsia="宋体" w:cs="Times New Roman"/>
                <w:b/>
                <w:bCs/>
                <w:color w:val="auto"/>
                <w:kern w:val="2"/>
                <w:sz w:val="24"/>
                <w:szCs w:val="24"/>
                <w:lang w:val="en-US" w:bidi="ar-SA"/>
              </w:rPr>
            </w:pPr>
            <w:r>
              <w:rPr>
                <w:rFonts w:hint="default" w:ascii="Times New Roman" w:hAnsi="Times New Roman" w:eastAsia="宋体" w:cs="Times New Roman"/>
                <w:b/>
                <w:bCs/>
                <w:color w:val="auto"/>
                <w:kern w:val="2"/>
                <w:sz w:val="24"/>
                <w:szCs w:val="24"/>
                <w:lang w:val="en-US" w:bidi="ar-SA"/>
              </w:rPr>
              <w:t>家庭服务：</w:t>
            </w:r>
            <w:r>
              <w:rPr>
                <w:rFonts w:hint="default" w:ascii="Times New Roman" w:hAnsi="Times New Roman" w:eastAsia="宋体" w:cs="Times New Roman"/>
                <w:color w:val="auto"/>
                <w:sz w:val="24"/>
                <w:szCs w:val="24"/>
                <w:lang w:val="en-US"/>
              </w:rPr>
              <w:t>智慧社区平台。</w:t>
            </w:r>
          </w:p>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cs="Times New Roman"/>
                <w:color w:val="auto"/>
                <w:sz w:val="28"/>
                <w:szCs w:val="28"/>
                <w:lang w:val="en-US"/>
              </w:rPr>
            </w:pPr>
            <w:r>
              <w:rPr>
                <w:rFonts w:hint="default" w:ascii="Times New Roman" w:hAnsi="Times New Roman" w:eastAsia="宋体" w:cs="Times New Roman"/>
                <w:b/>
                <w:bCs/>
                <w:color w:val="auto"/>
                <w:kern w:val="2"/>
                <w:sz w:val="24"/>
                <w:szCs w:val="24"/>
                <w:highlight w:val="none"/>
                <w:lang w:val="en-US" w:eastAsia="zh-CN" w:bidi="ar-SA"/>
              </w:rPr>
              <w:t>健康</w:t>
            </w:r>
            <w:r>
              <w:rPr>
                <w:rFonts w:hint="default" w:ascii="Times New Roman" w:hAnsi="Times New Roman" w:eastAsia="宋体" w:cs="Times New Roman"/>
                <w:b/>
                <w:bCs/>
                <w:color w:val="auto"/>
                <w:kern w:val="2"/>
                <w:sz w:val="24"/>
                <w:szCs w:val="24"/>
                <w:highlight w:val="none"/>
                <w:lang w:val="en-US" w:bidi="ar-SA"/>
              </w:rPr>
              <w:t>体育</w:t>
            </w:r>
            <w:r>
              <w:rPr>
                <w:rFonts w:hint="default" w:ascii="Times New Roman" w:hAnsi="Times New Roman" w:eastAsia="宋体" w:cs="Times New Roman"/>
                <w:b/>
                <w:bCs/>
                <w:color w:val="auto"/>
                <w:kern w:val="2"/>
                <w:sz w:val="24"/>
                <w:szCs w:val="24"/>
                <w:lang w:val="en-US" w:bidi="ar-SA"/>
              </w:rPr>
              <w:t>：</w:t>
            </w:r>
            <w:r>
              <w:rPr>
                <w:rFonts w:hint="default" w:ascii="Times New Roman" w:hAnsi="Times New Roman" w:eastAsia="宋体" w:cs="Times New Roman"/>
                <w:b w:val="0"/>
                <w:bCs w:val="0"/>
                <w:color w:val="auto"/>
                <w:kern w:val="2"/>
                <w:sz w:val="24"/>
                <w:szCs w:val="24"/>
                <w:lang w:val="en-US" w:eastAsia="zh-CN" w:bidi="ar-SA"/>
              </w:rPr>
              <w:t>宿州体育场、宿州游泳馆、宿州全民健身中心、宿州皮划艇训练基地、宿州体育学校、宿州城南体育公园、砀山县体育中心、砀山县全民健身中心、埇桥区三馆一院、灵璧城市体育公园、泗县滨河生态体育公园</w:t>
            </w:r>
            <w:r>
              <w:rPr>
                <w:rFonts w:hint="default" w:ascii="Times New Roman" w:hAnsi="Times New Roman" w:eastAsia="宋体" w:cs="Times New Roman"/>
                <w:color w:val="auto"/>
                <w:sz w:val="24"/>
                <w:szCs w:val="24"/>
                <w:lang w:val="en-US"/>
              </w:rPr>
              <w:t>。</w:t>
            </w:r>
          </w:p>
        </w:tc>
      </w:tr>
    </w:tbl>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b/>
          <w:bCs/>
          <w:color w:val="auto"/>
          <w:lang w:val="en-US" w:eastAsia="zh-CN"/>
        </w:rPr>
      </w:pPr>
      <w:bookmarkStart w:id="19" w:name="_Toc236616754"/>
      <w:r>
        <w:rPr>
          <w:rFonts w:hint="default" w:ascii="Times New Roman" w:hAnsi="Times New Roman" w:eastAsia="方正楷体_GBK" w:cs="Times New Roman"/>
          <w:b/>
          <w:bCs/>
          <w:color w:val="auto"/>
          <w:lang w:val="en-US" w:eastAsia="zh-CN"/>
        </w:rPr>
        <w:t>（三）新兴服务业</w:t>
      </w:r>
      <w:bookmarkEnd w:id="19"/>
    </w:p>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抢抓“数字江淮”建设机遇，强化数字牵引，优化产业生态，推动新一代信息技术与先进制造、商贸物流、电子商务、文化旅游、教育健康等领域深度融合，培育壮大服务业数字内容，促进形成各种形式的商业模式、产业形态创新应用。</w:t>
      </w:r>
    </w:p>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lang w:val="en-US" w:eastAsia="zh-CN"/>
        </w:rPr>
        <w:t>1.大力发展数字服务业。</w:t>
      </w:r>
      <w:r>
        <w:rPr>
          <w:rFonts w:hint="default" w:ascii="Times New Roman" w:hAnsi="Times New Roman" w:eastAsia="仿宋_GB2312" w:cs="Times New Roman"/>
          <w:color w:val="auto"/>
          <w:lang w:val="en-US" w:eastAsia="zh-CN"/>
        </w:rPr>
        <w:t>借助人工智能、5G、量子信息、移动通信、物联网、区块链等新一代信息技术，充分发挥宿州云计算战略性新兴产业集聚基地基础和优势，发挥数字技术创新能力，推动生产性服务业向专业化和高端化延伸，助力生活性服务业向精细化和品质化转变，激发服务业新活力。大力促进工业互联网应用普及，培育智能化生产、网络化协同、个性化定制和服务化延伸等平台应用模式。加快智慧物流发展，健全物流基础设施网络体系，建立物流大数据中心，推动跨运输方式、跨部门、跨区域信息共享。促进智慧物流平台与电子商务平台对接，构建智能物流配送体系。发展智慧旅游和数字文化创意产业，提升生活智慧化服务能力和水平。发展数字普惠金融，推进金融、工商、税务数据共享，加快形成互联网金融产业集聚优势。</w:t>
      </w:r>
    </w:p>
    <w:p>
      <w:pPr>
        <w:keepNext w:val="0"/>
        <w:keepLines w:val="0"/>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cs="Times New Roman"/>
          <w:color w:val="auto"/>
          <w:lang w:eastAsia="zh-CN"/>
        </w:rPr>
      </w:pPr>
      <w:r>
        <w:rPr>
          <w:rFonts w:hint="default" w:ascii="Times New Roman" w:hAnsi="Times New Roman" w:cs="Times New Roman"/>
          <w:b/>
          <w:bCs/>
          <w:color w:val="auto"/>
          <w:u w:val="none"/>
          <w:lang w:val="en-US" w:eastAsia="zh-CN"/>
        </w:rPr>
        <w:t>2.加快壮大</w:t>
      </w:r>
      <w:r>
        <w:rPr>
          <w:rFonts w:hint="default" w:ascii="Times New Roman" w:hAnsi="Times New Roman" w:eastAsia="仿宋_GB2312" w:cs="Times New Roman"/>
          <w:b/>
          <w:bCs/>
          <w:color w:val="auto"/>
          <w:u w:val="none"/>
          <w:lang w:val="en-US"/>
        </w:rPr>
        <w:t>节能环保</w:t>
      </w:r>
      <w:r>
        <w:rPr>
          <w:rFonts w:hint="default" w:ascii="Times New Roman" w:hAnsi="Times New Roman" w:cs="Times New Roman"/>
          <w:b/>
          <w:bCs/>
          <w:color w:val="auto"/>
          <w:u w:val="none"/>
          <w:lang w:val="en-US" w:eastAsia="zh-CN"/>
        </w:rPr>
        <w:t>服务业。</w:t>
      </w:r>
      <w:r>
        <w:rPr>
          <w:rFonts w:hint="default" w:ascii="Times New Roman" w:hAnsi="Times New Roman" w:eastAsia="仿宋_GB2312" w:cs="Times New Roman"/>
          <w:color w:val="auto"/>
        </w:rPr>
        <w:t>服务实现碳达峰碳中和目标，加快发展节能环保技术、咨询、评估、计量、检测和运营管理等服务。鼓励节能服务模式创新，积极发展节能咨询、诊断、设计、融资、改造、托管等“一站式”合同能源管理综合服务。支持发展生态修复、环境风险与损害评价等服务，推动在城镇污水</w:t>
      </w:r>
      <w:r>
        <w:rPr>
          <w:rFonts w:hint="default" w:ascii="Times New Roman" w:hAnsi="Times New Roman" w:cs="Times New Roman"/>
          <w:color w:val="auto"/>
          <w:lang w:eastAsia="zh-CN"/>
        </w:rPr>
        <w:t>、</w:t>
      </w:r>
      <w:r>
        <w:rPr>
          <w:rFonts w:hint="default" w:ascii="Times New Roman" w:hAnsi="Times New Roman" w:eastAsia="仿宋_GB2312" w:cs="Times New Roman"/>
          <w:color w:val="auto"/>
        </w:rPr>
        <w:t>垃圾处理、工业园区污染集中处理等重点领域开展环境污染第三方治理，推广产业园区、小城镇环境综合治理托管。加快发展碳资产管理、碳咨询、碳排放权交易等服务。适应安全生产改革发展新趋势，积极发展安全生产专业技术服务业。推进废旧家电回收处理体系建设</w:t>
      </w:r>
      <w:r>
        <w:rPr>
          <w:rFonts w:hint="default" w:ascii="Times New Roman" w:hAnsi="Times New Roman" w:cs="Times New Roman"/>
          <w:color w:val="auto"/>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0"/>
        <w:textAlignment w:val="auto"/>
        <w:rPr>
          <w:rFonts w:hint="default" w:ascii="Times New Roman" w:hAnsi="Times New Roman" w:eastAsia="仿宋_GB2312" w:cs="Times New Roman"/>
          <w:color w:val="auto"/>
          <w:kern w:val="2"/>
          <w:lang w:val="en-US" w:bidi="ar-SA"/>
        </w:rPr>
      </w:pPr>
      <w:r>
        <w:rPr>
          <w:rFonts w:hint="default" w:ascii="Times New Roman" w:hAnsi="Times New Roman" w:cs="Times New Roman"/>
          <w:b/>
          <w:bCs/>
          <w:color w:val="auto"/>
          <w:lang w:val="en-US" w:eastAsia="zh-CN"/>
        </w:rPr>
        <w:t>3.促进新模式新业态健康发展。</w:t>
      </w:r>
      <w:r>
        <w:rPr>
          <w:rFonts w:hint="default" w:ascii="Times New Roman" w:hAnsi="Times New Roman" w:cs="Times New Roman"/>
          <w:color w:val="auto"/>
          <w:lang w:val="en-US" w:eastAsia="zh-CN"/>
        </w:rPr>
        <w:t>推进数据赋能研发、生产、流通、服务、消费的全价值链协同融合应用，培育网络体验、共享经济、平台经济等新模式，创新“无接触交易服务”等消费模式。推进“电商宿州”建设，培育壮大跨境电商。支持新零售、在线消费、互联网医疗、在线研发、线上教育、移动出行、在线文娱、远程办公、“宅经济”等新业态。加快产品和服务创新速度，加速消费升级迭代，开发体验式新产品新服务，引导体验式消费。坚持审慎监管和包容式监管，创新监管方式，提升监管能力，完善监管体系。建立健全适应分享经济发展的政策法规，妥善协调并保障各方合法权益，优化分享经济发展环境。明确平台运营规则和权责边界，促进平台经济规范有序发展。加强体验场所设施的质量和安全监管。</w:t>
      </w:r>
    </w:p>
    <w:tbl>
      <w:tblPr>
        <w:tblStyle w:val="22"/>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20" w:type="dxa"/>
            <w:vAlign w:val="center"/>
          </w:tcPr>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center"/>
              <w:textAlignment w:val="auto"/>
              <w:rPr>
                <w:rFonts w:hint="default" w:ascii="Times New Roman" w:hAnsi="Times New Roman" w:cs="Times New Roman"/>
                <w:color w:val="auto"/>
                <w:kern w:val="2"/>
                <w:sz w:val="28"/>
                <w:szCs w:val="28"/>
                <w:lang w:val="en-US" w:bidi="ar-SA"/>
              </w:rPr>
            </w:pPr>
            <w:r>
              <w:rPr>
                <w:rFonts w:hint="default" w:ascii="Times New Roman" w:hAnsi="Times New Roman" w:eastAsia="黑体" w:cs="Times New Roman"/>
                <w:b/>
                <w:bCs/>
                <w:color w:val="auto"/>
                <w:kern w:val="2"/>
                <w:sz w:val="24"/>
                <w:szCs w:val="24"/>
                <w:lang w:val="en-US" w:bidi="ar-SA"/>
              </w:rPr>
              <w:t>专栏</w:t>
            </w:r>
            <w:r>
              <w:rPr>
                <w:rFonts w:hint="eastAsia" w:ascii="Times New Roman" w:hAnsi="Times New Roman" w:eastAsia="黑体" w:cs="Times New Roman"/>
                <w:b/>
                <w:bCs/>
                <w:color w:val="auto"/>
                <w:kern w:val="2"/>
                <w:sz w:val="24"/>
                <w:szCs w:val="24"/>
                <w:lang w:val="en-US" w:eastAsia="zh-CN" w:bidi="ar-SA"/>
              </w:rPr>
              <w:t>4</w:t>
            </w:r>
            <w:r>
              <w:rPr>
                <w:rFonts w:hint="default" w:ascii="Times New Roman" w:hAnsi="Times New Roman" w:eastAsia="黑体" w:cs="Times New Roman"/>
                <w:b/>
                <w:bCs/>
                <w:color w:val="auto"/>
                <w:kern w:val="2"/>
                <w:sz w:val="24"/>
                <w:szCs w:val="24"/>
                <w:lang w:val="en-US" w:bidi="ar-SA"/>
              </w:rPr>
              <w:t>：宿州市</w:t>
            </w:r>
            <w:r>
              <w:rPr>
                <w:rFonts w:hint="eastAsia" w:ascii="Times New Roman" w:hAnsi="Times New Roman" w:eastAsia="黑体" w:cs="Times New Roman"/>
                <w:b/>
                <w:bCs/>
                <w:color w:val="auto"/>
                <w:kern w:val="2"/>
                <w:sz w:val="24"/>
                <w:szCs w:val="24"/>
                <w:lang w:val="en-US" w:eastAsia="zh-CN" w:bidi="ar-SA"/>
              </w:rPr>
              <w:t>新兴</w:t>
            </w:r>
            <w:r>
              <w:rPr>
                <w:rFonts w:hint="default" w:ascii="Times New Roman" w:hAnsi="Times New Roman" w:eastAsia="黑体" w:cs="Times New Roman"/>
                <w:b/>
                <w:bCs/>
                <w:color w:val="auto"/>
                <w:kern w:val="2"/>
                <w:sz w:val="24"/>
                <w:szCs w:val="24"/>
                <w:lang w:val="en-US" w:bidi="ar-SA"/>
              </w:rPr>
              <w:t>服务业重</w:t>
            </w:r>
            <w:r>
              <w:rPr>
                <w:rFonts w:hint="default" w:ascii="Times New Roman" w:hAnsi="Times New Roman" w:eastAsia="黑体" w:cs="Times New Roman"/>
                <w:b/>
                <w:bCs/>
                <w:color w:val="auto"/>
                <w:kern w:val="2"/>
                <w:sz w:val="24"/>
                <w:szCs w:val="24"/>
                <w:lang w:val="en-US" w:eastAsia="zh-CN" w:bidi="ar-SA"/>
              </w:rPr>
              <w:t>点</w:t>
            </w:r>
            <w:r>
              <w:rPr>
                <w:rFonts w:hint="default" w:ascii="Times New Roman" w:hAnsi="Times New Roman" w:eastAsia="黑体" w:cs="Times New Roman"/>
                <w:b/>
                <w:bCs/>
                <w:color w:val="auto"/>
                <w:kern w:val="2"/>
                <w:sz w:val="24"/>
                <w:szCs w:val="24"/>
                <w:lang w:val="en-US" w:bidi="ar-S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0" w:type="dxa"/>
            <w:vAlign w:val="center"/>
          </w:tcPr>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eastAsia="宋体" w:cs="Times New Roman"/>
                <w:b/>
                <w:bCs/>
                <w:color w:val="auto"/>
                <w:kern w:val="2"/>
                <w:sz w:val="24"/>
                <w:szCs w:val="24"/>
                <w:lang w:val="en-US" w:bidi="ar-SA"/>
              </w:rPr>
            </w:pPr>
            <w:r>
              <w:rPr>
                <w:rFonts w:hint="eastAsia" w:ascii="Times New Roman" w:hAnsi="Times New Roman" w:eastAsia="宋体" w:cs="Times New Roman"/>
                <w:b/>
                <w:bCs/>
                <w:color w:val="auto"/>
                <w:kern w:val="2"/>
                <w:sz w:val="24"/>
                <w:szCs w:val="24"/>
                <w:lang w:val="en-US" w:eastAsia="zh-CN" w:bidi="ar-SA"/>
              </w:rPr>
              <w:t>数字服务业</w:t>
            </w:r>
            <w:r>
              <w:rPr>
                <w:rFonts w:hint="default" w:ascii="Times New Roman" w:hAnsi="Times New Roman" w:eastAsia="宋体" w:cs="Times New Roman"/>
                <w:b/>
                <w:bCs/>
                <w:color w:val="auto"/>
                <w:kern w:val="2"/>
                <w:sz w:val="24"/>
                <w:szCs w:val="24"/>
                <w:lang w:val="en-US" w:bidi="ar-SA"/>
              </w:rPr>
              <w:t>：</w:t>
            </w:r>
          </w:p>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eastAsia="宋体" w:cs="Times New Roman"/>
                <w:b/>
                <w:bCs/>
                <w:color w:val="auto"/>
                <w:sz w:val="24"/>
                <w:szCs w:val="24"/>
                <w:lang w:val="en-US"/>
              </w:rPr>
            </w:pPr>
            <w:r>
              <w:rPr>
                <w:rFonts w:hint="eastAsia" w:ascii="Times New Roman" w:hAnsi="Times New Roman" w:eastAsia="宋体" w:cs="Times New Roman"/>
                <w:b/>
                <w:bCs/>
                <w:color w:val="auto"/>
                <w:kern w:val="2"/>
                <w:sz w:val="24"/>
                <w:szCs w:val="24"/>
                <w:lang w:val="en-US" w:eastAsia="zh-CN" w:bidi="ar-SA"/>
              </w:rPr>
              <w:t>节能环保服务业</w:t>
            </w:r>
            <w:r>
              <w:rPr>
                <w:rFonts w:hint="default" w:ascii="Times New Roman" w:hAnsi="Times New Roman" w:eastAsia="宋体" w:cs="Times New Roman"/>
                <w:b/>
                <w:bCs/>
                <w:color w:val="auto"/>
                <w:sz w:val="24"/>
                <w:szCs w:val="24"/>
                <w:lang w:val="en-US"/>
              </w:rPr>
              <w:t>：</w:t>
            </w:r>
          </w:p>
          <w:p>
            <w:pPr>
              <w:keepNext w:val="0"/>
              <w:keepLines w:val="0"/>
              <w:pageBreakBefore w:val="0"/>
              <w:widowControl w:val="0"/>
              <w:kinsoku/>
              <w:wordWrap/>
              <w:overflowPunct/>
              <w:topLinePunct w:val="0"/>
              <w:autoSpaceDE w:val="0"/>
              <w:autoSpaceDN w:val="0"/>
              <w:bidi w:val="0"/>
              <w:adjustRightInd/>
              <w:snapToGrid/>
              <w:spacing w:line="420" w:lineRule="exact"/>
              <w:ind w:firstLine="0" w:firstLineChars="0"/>
              <w:jc w:val="left"/>
              <w:textAlignment w:val="auto"/>
              <w:rPr>
                <w:rFonts w:hint="default" w:ascii="Times New Roman" w:hAnsi="Times New Roman" w:cs="Times New Roman"/>
                <w:color w:val="auto"/>
                <w:sz w:val="28"/>
                <w:szCs w:val="28"/>
                <w:lang w:val="en-US"/>
              </w:rPr>
            </w:pPr>
            <w:r>
              <w:rPr>
                <w:rFonts w:hint="eastAsia" w:ascii="Times New Roman" w:hAnsi="Times New Roman" w:eastAsia="宋体" w:cs="Times New Roman"/>
                <w:b/>
                <w:bCs/>
                <w:color w:val="auto"/>
                <w:kern w:val="2"/>
                <w:sz w:val="24"/>
                <w:szCs w:val="24"/>
                <w:lang w:val="en-US" w:eastAsia="zh-CN" w:bidi="ar-SA"/>
              </w:rPr>
              <w:t>服务业</w:t>
            </w:r>
            <w:r>
              <w:rPr>
                <w:rFonts w:hint="default" w:ascii="Times New Roman" w:hAnsi="Times New Roman" w:eastAsia="宋体" w:cs="Times New Roman"/>
                <w:b/>
                <w:bCs/>
                <w:color w:val="auto"/>
                <w:kern w:val="2"/>
                <w:sz w:val="24"/>
                <w:szCs w:val="24"/>
                <w:lang w:val="en-US" w:bidi="ar-SA"/>
              </w:rPr>
              <w:t>新模式新业态：</w:t>
            </w:r>
          </w:p>
        </w:tc>
      </w:tr>
    </w:tbl>
    <w:p>
      <w:pPr>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kern w:val="2"/>
          <w:lang w:val="en-US" w:bidi="ar-SA"/>
        </w:rPr>
      </w:pPr>
      <w:r>
        <w:rPr>
          <w:rFonts w:hint="default" w:ascii="Times New Roman" w:hAnsi="Times New Roman" w:eastAsia="仿宋_GB2312" w:cs="Times New Roman"/>
          <w:color w:val="auto"/>
          <w:kern w:val="2"/>
          <w:lang w:val="en-US" w:bidi="ar-SA"/>
        </w:rPr>
        <w:br w:type="page"/>
      </w:r>
    </w:p>
    <w:p>
      <w:pPr>
        <w:pStyle w:val="3"/>
        <w:pageBreakBefore w:val="0"/>
        <w:kinsoku/>
        <w:wordWrap/>
        <w:overflowPunct/>
        <w:topLinePunct w:val="0"/>
        <w:autoSpaceDE w:val="0"/>
        <w:autoSpaceDN w:val="0"/>
        <w:bidi w:val="0"/>
        <w:adjustRightInd/>
        <w:snapToGrid/>
        <w:spacing w:before="312" w:after="312" w:line="600" w:lineRule="exact"/>
        <w:textAlignment w:val="auto"/>
        <w:rPr>
          <w:rFonts w:hint="default" w:ascii="Times New Roman" w:hAnsi="Times New Roman" w:cs="Times New Roman"/>
          <w:color w:val="auto"/>
          <w:szCs w:val="32"/>
          <w:lang w:val="en-US" w:bidi="ar-SA"/>
        </w:rPr>
      </w:pPr>
      <w:bookmarkStart w:id="20" w:name="_Toc2144118591"/>
      <w:r>
        <w:rPr>
          <w:rFonts w:hint="default" w:ascii="Times New Roman" w:hAnsi="Times New Roman" w:cs="Times New Roman"/>
          <w:color w:val="auto"/>
          <w:lang w:val="en-US" w:eastAsia="zh-CN"/>
        </w:rPr>
        <w:t>五、重点工程</w:t>
      </w:r>
      <w:bookmarkEnd w:id="20"/>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21" w:name="_Toc464456183"/>
      <w:bookmarkStart w:id="22" w:name="_Toc21601"/>
      <w:bookmarkStart w:id="23" w:name="_Toc1776109214"/>
      <w:bookmarkStart w:id="24" w:name="_Toc464456180"/>
      <w:bookmarkStart w:id="25" w:name="_Toc1091"/>
      <w:r>
        <w:rPr>
          <w:rFonts w:hint="default" w:ascii="Times New Roman" w:hAnsi="Times New Roman" w:eastAsia="方正楷体_GBK" w:cs="Times New Roman"/>
          <w:color w:val="auto"/>
          <w:lang w:val="en-US" w:eastAsia="zh-CN"/>
        </w:rPr>
        <w:t>（一）</w:t>
      </w:r>
      <w:r>
        <w:rPr>
          <w:rFonts w:hint="default" w:ascii="Times New Roman" w:hAnsi="Times New Roman" w:eastAsia="方正楷体_GBK" w:cs="Times New Roman"/>
          <w:color w:val="auto"/>
          <w:lang w:val="en-US"/>
        </w:rPr>
        <w:t>创新</w:t>
      </w:r>
      <w:r>
        <w:rPr>
          <w:rFonts w:hint="default" w:ascii="Times New Roman" w:hAnsi="Times New Roman" w:eastAsia="方正楷体_GBK" w:cs="Times New Roman"/>
          <w:color w:val="auto"/>
          <w:lang w:val="en-US" w:eastAsia="zh-CN"/>
        </w:rPr>
        <w:t>绿色</w:t>
      </w:r>
      <w:r>
        <w:rPr>
          <w:rFonts w:hint="default" w:ascii="Times New Roman" w:hAnsi="Times New Roman" w:eastAsia="方正楷体_GBK" w:cs="Times New Roman"/>
          <w:color w:val="auto"/>
          <w:lang w:val="en-US"/>
        </w:rPr>
        <w:t>工程</w:t>
      </w:r>
      <w:bookmarkEnd w:id="21"/>
      <w:bookmarkEnd w:id="22"/>
      <w:bookmarkEnd w:id="23"/>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贯彻创新绿色发展战略，促进服务新技术开发应用，发展服务新业态、新模式，推动传统服务业数字化、智能化转型，丰富服务业文化内涵，增强服务业发展新动能。</w:t>
      </w:r>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eastAsia="仿宋_GB2312" w:cs="Times New Roman"/>
          <w:color w:val="auto"/>
          <w:highlight w:val="none"/>
        </w:rPr>
      </w:pPr>
      <w:r>
        <w:rPr>
          <w:rFonts w:hint="default" w:ascii="Times New Roman" w:hAnsi="Times New Roman" w:cs="Times New Roman"/>
          <w:b/>
          <w:bCs/>
          <w:color w:val="auto"/>
          <w:highlight w:val="none"/>
          <w:lang w:eastAsia="zh-CN"/>
        </w:rPr>
        <w:t>实施科技创新</w:t>
      </w:r>
      <w:r>
        <w:rPr>
          <w:rFonts w:hint="default" w:ascii="Times New Roman" w:hAnsi="Times New Roman" w:eastAsia="仿宋_GB2312" w:cs="Times New Roman"/>
          <w:b/>
          <w:bCs/>
          <w:color w:val="auto"/>
          <w:highlight w:val="none"/>
          <w:lang w:eastAsia="zh-CN"/>
        </w:rPr>
        <w:t>。</w:t>
      </w:r>
      <w:r>
        <w:rPr>
          <w:rFonts w:hint="default" w:ascii="Times New Roman" w:hAnsi="Times New Roman" w:cs="Times New Roman"/>
          <w:color w:val="auto"/>
          <w:lang w:val="en-US" w:eastAsia="zh-CN"/>
        </w:rPr>
        <w:t>深度参与合肥综合性科学中心、上海张江综合性科学中心“两心同创”，</w:t>
      </w:r>
      <w:r>
        <w:rPr>
          <w:rFonts w:hint="default" w:ascii="Times New Roman" w:hAnsi="Times New Roman" w:cs="Times New Roman"/>
          <w:b w:val="0"/>
          <w:bCs w:val="0"/>
          <w:color w:val="auto"/>
          <w:highlight w:val="none"/>
          <w:lang w:eastAsia="zh-CN"/>
        </w:rPr>
        <w:t>扎实推进科技创新“151”工程</w:t>
      </w:r>
      <w:r>
        <w:rPr>
          <w:rFonts w:hint="default" w:ascii="Times New Roman" w:hAnsi="Times New Roman" w:eastAsia="仿宋_GB2312" w:cs="Times New Roman"/>
          <w:b w:val="0"/>
          <w:bCs w:val="0"/>
          <w:color w:val="auto"/>
          <w:highlight w:val="none"/>
          <w:lang w:eastAsia="zh-CN"/>
        </w:rPr>
        <w:t>，加强技术创新和应用，推动人工智能、云计算、</w:t>
      </w:r>
      <w:r>
        <w:rPr>
          <w:rFonts w:hint="default" w:ascii="Times New Roman" w:hAnsi="Times New Roman" w:eastAsia="仿宋_GB2312" w:cs="Times New Roman"/>
          <w:b w:val="0"/>
          <w:bCs w:val="0"/>
          <w:color w:val="auto"/>
          <w:highlight w:val="none"/>
          <w:lang w:val="en-US" w:eastAsia="zh-CN"/>
        </w:rPr>
        <w:t>5G、</w:t>
      </w:r>
      <w:r>
        <w:rPr>
          <w:rFonts w:hint="default" w:ascii="Times New Roman" w:hAnsi="Times New Roman" w:eastAsia="仿宋_GB2312" w:cs="Times New Roman"/>
          <w:b w:val="0"/>
          <w:bCs w:val="0"/>
          <w:color w:val="auto"/>
          <w:highlight w:val="none"/>
          <w:lang w:eastAsia="zh-CN"/>
        </w:rPr>
        <w:t>大数据等新一代信息技术在服务领域深度应用，提升服务业数字化、智能化发展水平，引导传统服务业企业改造升级，增强个性化、多样化、柔性化服务能力。鼓励业态和模式创新，</w:t>
      </w:r>
      <w:r>
        <w:rPr>
          <w:rFonts w:hint="default" w:ascii="Times New Roman" w:hAnsi="Times New Roman" w:eastAsia="仿宋_GB2312" w:cs="Times New Roman"/>
          <w:color w:val="auto"/>
          <w:highlight w:val="none"/>
        </w:rPr>
        <w:t>以“互联网</w:t>
      </w:r>
      <w:r>
        <w:rPr>
          <w:rFonts w:hint="default" w:ascii="Times New Roman" w:hAnsi="Times New Roman" w:eastAsia="仿宋_GB2312" w:cs="Times New Roman"/>
          <w:color w:val="auto"/>
          <w:highlight w:val="none"/>
          <w:lang w:val="en-US"/>
        </w:rPr>
        <w:t>+</w:t>
      </w:r>
      <w:r>
        <w:rPr>
          <w:rFonts w:hint="default" w:ascii="Times New Roman" w:hAnsi="Times New Roman" w:eastAsia="仿宋_GB2312" w:cs="Times New Roman"/>
          <w:color w:val="auto"/>
          <w:highlight w:val="none"/>
        </w:rPr>
        <w:t>”引领服务业产业结构、产业组织、产业资源配置和产业布局等创新发展，</w:t>
      </w:r>
      <w:r>
        <w:rPr>
          <w:rFonts w:hint="default" w:ascii="Times New Roman" w:hAnsi="Times New Roman" w:eastAsia="仿宋_GB2312" w:cs="Times New Roman"/>
          <w:b w:val="0"/>
          <w:bCs w:val="0"/>
          <w:color w:val="auto"/>
          <w:highlight w:val="none"/>
          <w:lang w:eastAsia="zh-CN"/>
        </w:rPr>
        <w:t>推动智慧物流、服务外包、医养结合、远程医疗、远程教育</w:t>
      </w:r>
      <w:r>
        <w:rPr>
          <w:rFonts w:hint="default" w:ascii="Times New Roman" w:hAnsi="Times New Roman" w:cs="Times New Roman"/>
          <w:b w:val="0"/>
          <w:bCs w:val="0"/>
          <w:color w:val="auto"/>
          <w:highlight w:val="none"/>
          <w:lang w:eastAsia="zh-CN"/>
        </w:rPr>
        <w:t>等新业态</w:t>
      </w:r>
      <w:r>
        <w:rPr>
          <w:rFonts w:hint="default" w:ascii="Times New Roman" w:hAnsi="Times New Roman" w:eastAsia="仿宋_GB2312" w:cs="Times New Roman"/>
          <w:b w:val="0"/>
          <w:bCs w:val="0"/>
          <w:color w:val="auto"/>
          <w:highlight w:val="none"/>
          <w:lang w:eastAsia="zh-CN"/>
        </w:rPr>
        <w:t>加快发展，引导平台经济、共享经济、体验经济、直播经济</w:t>
      </w:r>
      <w:r>
        <w:rPr>
          <w:rFonts w:hint="default" w:ascii="Times New Roman" w:hAnsi="Times New Roman" w:cs="Times New Roman"/>
          <w:b w:val="0"/>
          <w:bCs w:val="0"/>
          <w:color w:val="auto"/>
          <w:highlight w:val="none"/>
          <w:lang w:eastAsia="zh-CN"/>
        </w:rPr>
        <w:t>等新模式</w:t>
      </w:r>
      <w:r>
        <w:rPr>
          <w:rFonts w:hint="default" w:ascii="Times New Roman" w:hAnsi="Times New Roman" w:eastAsia="仿宋_GB2312" w:cs="Times New Roman"/>
          <w:b w:val="0"/>
          <w:bCs w:val="0"/>
          <w:color w:val="auto"/>
          <w:highlight w:val="none"/>
          <w:lang w:eastAsia="zh-CN"/>
        </w:rPr>
        <w:t>有序发展，鼓励更多社会主体围绕服务业高质量发展开展创新创业创造，不断</w:t>
      </w:r>
      <w:r>
        <w:rPr>
          <w:rFonts w:hint="default" w:ascii="Times New Roman" w:hAnsi="Times New Roman" w:eastAsia="仿宋_GB2312" w:cs="Times New Roman"/>
          <w:color w:val="auto"/>
          <w:kern w:val="0"/>
          <w:sz w:val="32"/>
          <w:szCs w:val="32"/>
          <w:highlight w:val="none"/>
          <w:lang w:val="en-US" w:eastAsia="zh-CN" w:bidi="ar"/>
        </w:rPr>
        <w:t>催生新产业、新业态、新模式，</w:t>
      </w:r>
      <w:r>
        <w:rPr>
          <w:rFonts w:hint="default" w:ascii="Times New Roman" w:hAnsi="Times New Roman" w:eastAsia="仿宋_GB2312" w:cs="Times New Roman"/>
          <w:color w:val="auto"/>
          <w:highlight w:val="none"/>
        </w:rPr>
        <w:t>增强服务</w:t>
      </w:r>
      <w:r>
        <w:rPr>
          <w:rFonts w:hint="default" w:ascii="Times New Roman" w:hAnsi="Times New Roman" w:eastAsia="仿宋_GB2312" w:cs="Times New Roman"/>
          <w:color w:val="auto"/>
          <w:highlight w:val="none"/>
          <w:lang w:eastAsia="zh-CN"/>
        </w:rPr>
        <w:t>业</w:t>
      </w:r>
      <w:r>
        <w:rPr>
          <w:rFonts w:hint="default" w:ascii="Times New Roman" w:hAnsi="Times New Roman" w:eastAsia="仿宋_GB2312" w:cs="Times New Roman"/>
          <w:color w:val="auto"/>
          <w:highlight w:val="none"/>
        </w:rPr>
        <w:t>有效供给。</w:t>
      </w:r>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eastAsia="仿宋_GB2312" w:cs="Times New Roman"/>
          <w:color w:val="auto"/>
          <w:highlight w:val="none"/>
        </w:rPr>
      </w:pPr>
      <w:r>
        <w:rPr>
          <w:rFonts w:hint="default" w:ascii="Times New Roman" w:hAnsi="Times New Roman" w:cs="Times New Roman"/>
          <w:b/>
          <w:bCs/>
          <w:color w:val="auto"/>
          <w:highlight w:val="none"/>
          <w:lang w:val="en-US" w:eastAsia="zh-CN"/>
        </w:rPr>
        <w:t>推动</w:t>
      </w:r>
      <w:r>
        <w:rPr>
          <w:rFonts w:hint="default" w:ascii="Times New Roman" w:hAnsi="Times New Roman" w:eastAsia="仿宋_GB2312" w:cs="Times New Roman"/>
          <w:b/>
          <w:bCs/>
          <w:color w:val="auto"/>
          <w:highlight w:val="none"/>
          <w:lang w:val="en-US" w:eastAsia="zh-CN"/>
        </w:rPr>
        <w:t>文化</w:t>
      </w:r>
      <w:r>
        <w:rPr>
          <w:rFonts w:hint="default" w:ascii="Times New Roman" w:hAnsi="Times New Roman" w:cs="Times New Roman"/>
          <w:b/>
          <w:bCs/>
          <w:color w:val="auto"/>
          <w:highlight w:val="none"/>
          <w:lang w:val="en-US" w:eastAsia="zh-CN"/>
        </w:rPr>
        <w:t>创新</w:t>
      </w:r>
      <w:r>
        <w:rPr>
          <w:rFonts w:hint="default" w:ascii="Times New Roman" w:hAnsi="Times New Roman" w:eastAsia="仿宋_GB2312" w:cs="Times New Roman"/>
          <w:b/>
          <w:bCs/>
          <w:color w:val="auto"/>
          <w:highlight w:val="none"/>
          <w:lang w:val="en-US" w:eastAsia="zh-CN"/>
        </w:rPr>
        <w:t>。</w:t>
      </w:r>
      <w:r>
        <w:rPr>
          <w:rFonts w:hint="default" w:ascii="Times New Roman" w:hAnsi="Times New Roman" w:eastAsia="仿宋_GB2312" w:cs="Times New Roman"/>
          <w:color w:val="auto"/>
          <w:highlight w:val="none"/>
          <w:lang w:val="en-US" w:eastAsia="zh-CN"/>
        </w:rPr>
        <w:t>以</w:t>
      </w:r>
      <w:r>
        <w:rPr>
          <w:rFonts w:hint="default" w:ascii="Times New Roman" w:hAnsi="Times New Roman" w:cs="Times New Roman"/>
          <w:color w:val="auto"/>
          <w:highlight w:val="none"/>
          <w:lang w:val="en-US" w:eastAsia="zh-CN"/>
        </w:rPr>
        <w:t>打造皖北特色文化强市</w:t>
      </w:r>
      <w:r>
        <w:rPr>
          <w:rFonts w:hint="default" w:ascii="Times New Roman" w:hAnsi="Times New Roman" w:eastAsia="仿宋_GB2312" w:cs="Times New Roman"/>
          <w:color w:val="auto"/>
          <w:highlight w:val="none"/>
          <w:lang w:val="en-US" w:eastAsia="zh-CN"/>
        </w:rPr>
        <w:t>为统领，不断丰富服务业文化内涵，</w:t>
      </w:r>
      <w:r>
        <w:rPr>
          <w:rFonts w:hint="default" w:ascii="Times New Roman" w:hAnsi="Times New Roman" w:cs="Times New Roman"/>
          <w:color w:val="auto"/>
          <w:highlight w:val="none"/>
          <w:lang w:val="en-US" w:eastAsia="zh-CN"/>
        </w:rPr>
        <w:t>提升</w:t>
      </w:r>
      <w:r>
        <w:rPr>
          <w:rFonts w:hint="default" w:ascii="Times New Roman" w:hAnsi="Times New Roman" w:eastAsia="仿宋_GB2312" w:cs="Times New Roman"/>
          <w:color w:val="auto"/>
          <w:highlight w:val="none"/>
          <w:lang w:val="en-US" w:eastAsia="zh-CN"/>
        </w:rPr>
        <w:t>文化</w:t>
      </w:r>
      <w:r>
        <w:rPr>
          <w:rFonts w:hint="default" w:ascii="Times New Roman" w:hAnsi="Times New Roman" w:cs="Times New Roman"/>
          <w:color w:val="auto"/>
          <w:highlight w:val="none"/>
          <w:lang w:val="en-US" w:eastAsia="zh-CN"/>
        </w:rPr>
        <w:t>创新</w:t>
      </w:r>
      <w:r>
        <w:rPr>
          <w:rFonts w:hint="default" w:ascii="Times New Roman" w:hAnsi="Times New Roman" w:eastAsia="仿宋_GB2312" w:cs="Times New Roman"/>
          <w:color w:val="auto"/>
          <w:highlight w:val="none"/>
          <w:lang w:val="en-US" w:eastAsia="zh-CN"/>
        </w:rPr>
        <w:t>对服务业发展的推动作用</w:t>
      </w:r>
      <w:r>
        <w:rPr>
          <w:rFonts w:hint="default"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打造以运河文化、楚汉文化、奇石文化、农耕文化、孝贤文化</w:t>
      </w:r>
      <w:r>
        <w:rPr>
          <w:rFonts w:hint="default" w:ascii="Times New Roman" w:hAnsi="Times New Roman" w:cs="Times New Roman"/>
          <w:color w:val="auto"/>
          <w:highlight w:val="none"/>
          <w:lang w:val="en-US" w:eastAsia="zh-CN"/>
        </w:rPr>
        <w:t>、红色文化</w:t>
      </w:r>
      <w:r>
        <w:rPr>
          <w:rFonts w:hint="default" w:ascii="Times New Roman" w:hAnsi="Times New Roman" w:eastAsia="仿宋_GB2312" w:cs="Times New Roman"/>
          <w:color w:val="auto"/>
          <w:highlight w:val="none"/>
          <w:lang w:val="en-US" w:eastAsia="zh-CN"/>
        </w:rPr>
        <w:t>等为重点的</w:t>
      </w:r>
      <w:r>
        <w:rPr>
          <w:rFonts w:hint="default" w:ascii="Times New Roman" w:hAnsi="Times New Roman" w:cs="Times New Roman"/>
          <w:color w:val="auto"/>
          <w:highlight w:val="none"/>
          <w:lang w:val="en-US" w:eastAsia="zh-CN"/>
        </w:rPr>
        <w:t>特色</w:t>
      </w:r>
      <w:r>
        <w:rPr>
          <w:rFonts w:hint="default" w:ascii="Times New Roman" w:hAnsi="Times New Roman" w:eastAsia="仿宋_GB2312" w:cs="Times New Roman"/>
          <w:color w:val="auto"/>
          <w:highlight w:val="none"/>
          <w:lang w:val="en-US" w:eastAsia="zh-CN"/>
        </w:rPr>
        <w:t>地域文化品牌，推动文化创意和设计服务向制造业全过程渗透，</w:t>
      </w:r>
      <w:r>
        <w:rPr>
          <w:rFonts w:hint="default" w:ascii="Times New Roman" w:hAnsi="Times New Roman" w:cs="Times New Roman"/>
          <w:color w:val="auto"/>
          <w:highlight w:val="none"/>
          <w:lang w:val="en-US" w:eastAsia="zh-CN"/>
        </w:rPr>
        <w:t>以特色文化引领</w:t>
      </w:r>
      <w:r>
        <w:rPr>
          <w:rFonts w:hint="default" w:ascii="Times New Roman" w:hAnsi="Times New Roman" w:eastAsia="仿宋_GB2312" w:cs="Times New Roman"/>
          <w:color w:val="auto"/>
          <w:highlight w:val="none"/>
          <w:lang w:val="en-US" w:eastAsia="zh-CN"/>
        </w:rPr>
        <w:t>服务产品设计与创新</w:t>
      </w:r>
      <w:r>
        <w:rPr>
          <w:rFonts w:hint="default" w:ascii="Times New Roman" w:hAnsi="Times New Roman" w:cs="Times New Roman"/>
          <w:color w:val="auto"/>
          <w:highlight w:val="none"/>
          <w:lang w:val="en-US" w:eastAsia="zh-CN"/>
        </w:rPr>
        <w:t>，通过</w:t>
      </w:r>
      <w:r>
        <w:rPr>
          <w:rFonts w:hint="default" w:ascii="Times New Roman" w:hAnsi="Times New Roman" w:eastAsia="仿宋_GB2312" w:cs="Times New Roman"/>
          <w:color w:val="auto"/>
          <w:highlight w:val="none"/>
          <w:lang w:val="en-US" w:eastAsia="zh-CN"/>
        </w:rPr>
        <w:t>丰富的</w:t>
      </w:r>
      <w:r>
        <w:rPr>
          <w:rFonts w:hint="default" w:ascii="Times New Roman" w:hAnsi="Times New Roman" w:cs="Times New Roman"/>
          <w:color w:val="auto"/>
          <w:highlight w:val="none"/>
          <w:lang w:val="en-US" w:eastAsia="zh-CN"/>
        </w:rPr>
        <w:t>、</w:t>
      </w:r>
      <w:r>
        <w:rPr>
          <w:rFonts w:hint="default" w:ascii="Times New Roman" w:hAnsi="Times New Roman" w:eastAsia="仿宋_GB2312" w:cs="Times New Roman"/>
          <w:color w:val="auto"/>
          <w:highlight w:val="none"/>
          <w:lang w:val="en-US" w:eastAsia="zh-CN"/>
        </w:rPr>
        <w:t>全新的文化体验</w:t>
      </w:r>
      <w:r>
        <w:rPr>
          <w:rFonts w:hint="default" w:ascii="Times New Roman" w:hAnsi="Times New Roman" w:cs="Times New Roman"/>
          <w:color w:val="auto"/>
          <w:highlight w:val="none"/>
          <w:lang w:val="en-US" w:eastAsia="zh-CN"/>
        </w:rPr>
        <w:t>引导服务业提升能级。</w:t>
      </w:r>
    </w:p>
    <w:p>
      <w:pPr>
        <w:pageBreakBefore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eastAsia="zh-CN"/>
        </w:rPr>
      </w:pPr>
      <w:r>
        <w:rPr>
          <w:rFonts w:hint="default" w:ascii="Times New Roman" w:hAnsi="Times New Roman" w:cs="Times New Roman"/>
          <w:b/>
          <w:bCs/>
          <w:color w:val="auto"/>
          <w:lang w:eastAsia="zh-CN"/>
        </w:rPr>
        <w:t>促进绿色低碳。</w:t>
      </w:r>
      <w:r>
        <w:rPr>
          <w:rFonts w:hint="default" w:ascii="Times New Roman" w:hAnsi="Times New Roman" w:cs="Times New Roman"/>
          <w:color w:val="auto"/>
        </w:rPr>
        <w:t>坚持节约和高效利用土地等资源</w:t>
      </w:r>
      <w:r>
        <w:rPr>
          <w:rFonts w:hint="default" w:ascii="Times New Roman" w:hAnsi="Times New Roman" w:cs="Times New Roman"/>
          <w:color w:val="auto"/>
          <w:lang w:eastAsia="zh-CN"/>
        </w:rPr>
        <w:t>，</w:t>
      </w:r>
      <w:r>
        <w:rPr>
          <w:rFonts w:hint="default" w:ascii="Times New Roman" w:hAnsi="Times New Roman" w:cs="Times New Roman"/>
          <w:color w:val="auto"/>
        </w:rPr>
        <w:t>注重生态环境保护</w:t>
      </w:r>
      <w:r>
        <w:rPr>
          <w:rFonts w:hint="default" w:ascii="Times New Roman" w:hAnsi="Times New Roman" w:cs="Times New Roman"/>
          <w:color w:val="auto"/>
          <w:lang w:eastAsia="zh-CN"/>
        </w:rPr>
        <w:t>，建设</w:t>
      </w:r>
      <w:r>
        <w:rPr>
          <w:rFonts w:hint="default" w:ascii="Times New Roman" w:hAnsi="Times New Roman" w:cs="Times New Roman"/>
          <w:color w:val="auto"/>
        </w:rPr>
        <w:t>低碳环保绿色载体</w:t>
      </w:r>
      <w:r>
        <w:rPr>
          <w:rFonts w:hint="default" w:ascii="Times New Roman" w:hAnsi="Times New Roman" w:cs="Times New Roman"/>
          <w:color w:val="auto"/>
          <w:lang w:eastAsia="zh-CN"/>
        </w:rPr>
        <w:t>，</w:t>
      </w:r>
      <w:r>
        <w:rPr>
          <w:rFonts w:hint="default" w:ascii="Times New Roman" w:hAnsi="Times New Roman" w:cs="Times New Roman"/>
          <w:color w:val="auto"/>
        </w:rPr>
        <w:t>以构建完整产业链和提升价值链为目标，围绕</w:t>
      </w:r>
      <w:r>
        <w:rPr>
          <w:rFonts w:hint="default" w:ascii="Times New Roman" w:hAnsi="Times New Roman" w:cs="Times New Roman"/>
          <w:color w:val="auto"/>
          <w:lang w:val="en-US"/>
        </w:rPr>
        <w:t>信息服务、</w:t>
      </w:r>
      <w:r>
        <w:rPr>
          <w:rFonts w:hint="default" w:ascii="Times New Roman" w:hAnsi="Times New Roman" w:cs="Times New Roman"/>
          <w:color w:val="auto"/>
        </w:rPr>
        <w:t>现代物流、科技服务、金融</w:t>
      </w:r>
      <w:r>
        <w:rPr>
          <w:rFonts w:hint="default" w:ascii="Times New Roman" w:hAnsi="Times New Roman" w:cs="Times New Roman"/>
          <w:color w:val="auto"/>
          <w:lang w:val="en-US"/>
        </w:rPr>
        <w:t>服务</w:t>
      </w:r>
      <w:r>
        <w:rPr>
          <w:rFonts w:hint="default" w:ascii="Times New Roman" w:hAnsi="Times New Roman" w:cs="Times New Roman"/>
          <w:color w:val="auto"/>
        </w:rPr>
        <w:t>、</w:t>
      </w:r>
      <w:r>
        <w:rPr>
          <w:rFonts w:hint="default" w:ascii="Times New Roman" w:hAnsi="Times New Roman" w:cs="Times New Roman"/>
          <w:color w:val="auto"/>
          <w:lang w:eastAsia="zh-CN"/>
        </w:rPr>
        <w:t>电子商务</w:t>
      </w:r>
      <w:r>
        <w:rPr>
          <w:rFonts w:hint="default" w:ascii="Times New Roman" w:hAnsi="Times New Roman" w:cs="Times New Roman"/>
          <w:color w:val="auto"/>
        </w:rPr>
        <w:t>、</w:t>
      </w:r>
      <w:r>
        <w:rPr>
          <w:rFonts w:hint="default" w:ascii="Times New Roman" w:hAnsi="Times New Roman" w:cs="Times New Roman"/>
          <w:color w:val="auto"/>
          <w:lang w:eastAsia="zh-CN"/>
        </w:rPr>
        <w:t>现代商贸</w:t>
      </w:r>
      <w:r>
        <w:rPr>
          <w:rFonts w:hint="default" w:ascii="Times New Roman" w:hAnsi="Times New Roman" w:cs="Times New Roman"/>
          <w:color w:val="auto"/>
        </w:rPr>
        <w:t>等重点领域，推进服务业</w:t>
      </w:r>
      <w:r>
        <w:rPr>
          <w:rFonts w:hint="default" w:ascii="Times New Roman" w:hAnsi="Times New Roman" w:cs="Times New Roman"/>
          <w:color w:val="auto"/>
          <w:lang w:eastAsia="zh-CN"/>
        </w:rPr>
        <w:t>创新绿色发展，形成服务业高质量发展新高地。加强技术创新特别是节能减碳技术在服务业深度应用，大力发展节能环保服务业，增强服务业绿色发展能力。通过产业结构优化和服务业绿色低碳发展，</w:t>
      </w:r>
      <w:r>
        <w:rPr>
          <w:rFonts w:hint="default" w:ascii="Times New Roman" w:hAnsi="Times New Roman" w:cs="Times New Roman"/>
          <w:color w:val="auto"/>
          <w:highlight w:val="none"/>
          <w:lang w:eastAsia="zh-CN"/>
        </w:rPr>
        <w:t>促进实现“碳达峰”和“碳中和”。</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w:t>
            </w:r>
            <w:r>
              <w:rPr>
                <w:rFonts w:hint="eastAsia" w:ascii="Times New Roman" w:hAnsi="Times New Roman" w:eastAsia="黑体" w:cs="Times New Roman"/>
                <w:b/>
                <w:bCs/>
                <w:color w:val="auto"/>
                <w:sz w:val="24"/>
                <w:szCs w:val="24"/>
                <w:vertAlign w:val="baseline"/>
                <w:lang w:val="en-US" w:eastAsia="zh-CN"/>
              </w:rPr>
              <w:t>5</w:t>
            </w:r>
            <w:r>
              <w:rPr>
                <w:rFonts w:hint="default" w:ascii="Times New Roman" w:hAnsi="Times New Roman" w:eastAsia="黑体" w:cs="Times New Roman"/>
                <w:b/>
                <w:bCs/>
                <w:color w:val="auto"/>
                <w:sz w:val="24"/>
                <w:szCs w:val="24"/>
                <w:vertAlign w:val="baseline"/>
                <w:lang w:val="en-US" w:eastAsia="zh-CN"/>
              </w:rPr>
              <w:t>：创新绿色工程重点任务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推行绿色生产生活服务，推进清洁生产，开展第三方专业评估，加快推进环境污染第三方治理。扩大绿色产品消费，开展绿色生活创建行动。积极发展绿色建筑，主城区重点区域内住宅建筑加快采用装配式建筑，全市城镇新建民用建筑全面按照绿色建筑标准设计建造。落实宿州市制止餐饮浪费条例，全面实施限塑令。</w:t>
            </w:r>
          </w:p>
        </w:tc>
      </w:tr>
    </w:tbl>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lang w:eastAsia="zh-CN"/>
        </w:rPr>
      </w:pP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26" w:name="_Toc1957594428"/>
      <w:r>
        <w:rPr>
          <w:rFonts w:hint="default" w:ascii="Times New Roman" w:hAnsi="Times New Roman" w:eastAsia="方正楷体_GBK" w:cs="Times New Roman"/>
          <w:color w:val="auto"/>
          <w:lang w:val="en-US" w:eastAsia="zh-CN"/>
        </w:rPr>
        <w:t>（二）融合发展工程</w:t>
      </w:r>
      <w:bookmarkEnd w:id="26"/>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cs="Times New Roman"/>
          <w:color w:val="auto"/>
          <w:lang w:eastAsia="zh-CN"/>
        </w:rPr>
      </w:pPr>
      <w:r>
        <w:rPr>
          <w:rFonts w:hint="default" w:ascii="Times New Roman" w:hAnsi="Times New Roman" w:cs="Times New Roman"/>
          <w:b w:val="0"/>
          <w:bCs w:val="0"/>
          <w:color w:val="auto"/>
          <w:highlight w:val="none"/>
          <w:lang w:val="en-US" w:eastAsia="zh-CN"/>
        </w:rPr>
        <w:t>促进</w:t>
      </w:r>
      <w:r>
        <w:rPr>
          <w:rFonts w:hint="default" w:ascii="Times New Roman" w:hAnsi="Times New Roman" w:eastAsia="仿宋_GB2312" w:cs="Times New Roman"/>
          <w:b w:val="0"/>
          <w:bCs w:val="0"/>
          <w:color w:val="auto"/>
          <w:highlight w:val="none"/>
          <w:lang w:val="en-US" w:eastAsia="zh-CN"/>
        </w:rPr>
        <w:t>服务业与相关产业融合发展，形成交叉渗透、交互作用、跨界融合的产业生态系统。优化服务业空间组织模式，促进服务业联动发展和协同创新</w:t>
      </w:r>
      <w:r>
        <w:rPr>
          <w:rFonts w:hint="default" w:ascii="Times New Roman" w:hAnsi="Times New Roman" w:cs="Times New Roman"/>
          <w:b w:val="0"/>
          <w:bCs w:val="0"/>
          <w:color w:val="auto"/>
          <w:highlight w:val="none"/>
          <w:lang w:val="en-US" w:eastAsia="zh-CN"/>
        </w:rPr>
        <w:t>，</w:t>
      </w:r>
      <w:r>
        <w:rPr>
          <w:rFonts w:hint="default" w:ascii="Times New Roman" w:hAnsi="Times New Roman" w:eastAsia="仿宋_GB2312" w:cs="Times New Roman"/>
          <w:color w:val="auto"/>
          <w:highlight w:val="none"/>
        </w:rPr>
        <w:t>构建产城融合发展新模式</w:t>
      </w:r>
      <w:r>
        <w:rPr>
          <w:rFonts w:hint="default" w:ascii="Times New Roman" w:hAnsi="Times New Roman" w:cs="Times New Roman"/>
          <w:color w:val="auto"/>
          <w:lang w:eastAsia="zh-CN"/>
        </w:rPr>
        <w:t>。</w:t>
      </w:r>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cs="Times New Roman"/>
          <w:b/>
          <w:bCs/>
          <w:color w:val="auto"/>
          <w:highlight w:val="none"/>
          <w:lang w:eastAsia="zh-CN"/>
        </w:rPr>
        <w:t>推动</w:t>
      </w:r>
      <w:r>
        <w:rPr>
          <w:rFonts w:hint="default" w:ascii="Times New Roman" w:hAnsi="Times New Roman" w:eastAsia="仿宋_GB2312" w:cs="Times New Roman"/>
          <w:b/>
          <w:bCs/>
          <w:color w:val="auto"/>
          <w:highlight w:val="none"/>
          <w:lang w:eastAsia="zh-CN"/>
        </w:rPr>
        <w:t>产业融合。</w:t>
      </w:r>
      <w:r>
        <w:rPr>
          <w:rFonts w:hint="default" w:ascii="Times New Roman" w:hAnsi="Times New Roman" w:eastAsia="仿宋_GB2312" w:cs="Times New Roman"/>
          <w:color w:val="auto"/>
          <w:highlight w:val="none"/>
        </w:rPr>
        <w:t>推动现代服务业和先进制造业、现代农业融合发展，</w:t>
      </w:r>
      <w:r>
        <w:rPr>
          <w:rFonts w:hint="default" w:ascii="Times New Roman" w:hAnsi="Times New Roman" w:eastAsia="仿宋_GB2312" w:cs="Times New Roman"/>
          <w:b w:val="0"/>
          <w:bCs w:val="0"/>
          <w:color w:val="auto"/>
          <w:highlight w:val="none"/>
          <w:lang w:eastAsia="zh-CN"/>
        </w:rPr>
        <w:t>推动生产、服务、消费深度融合；</w:t>
      </w:r>
      <w:r>
        <w:rPr>
          <w:rFonts w:hint="default" w:ascii="Times New Roman" w:hAnsi="Times New Roman" w:eastAsia="仿宋_GB2312" w:cs="Times New Roman"/>
          <w:color w:val="auto"/>
          <w:highlight w:val="none"/>
        </w:rPr>
        <w:t>积极打造跨界融合的产业链和产业集群，促进多元化业态创新跨界融合。加快发展农村服务业，引导农业生产向生产、服务一体化转型，推动线上线下有机结合</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推动农业“接二连三”。打造工业互联网平台，推动制造业龙头企业技术研发、工业设计、采购分销、生产控制、营运管理、售后服务等环节向专业化、高端化跃升；大力发展服务型制造，鼓励制造业企业向一体化服务总集成总承包商转变</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服务型企业向制造环节延伸，形成服务业与制造业双向融合创新的新格局。发挥多元化融合发展主体的作用</w:t>
      </w:r>
      <w:r>
        <w:rPr>
          <w:rFonts w:hint="default" w:ascii="Times New Roman" w:hAnsi="Times New Roman" w:cs="Times New Roman"/>
          <w:color w:val="auto"/>
          <w:highlight w:val="none"/>
          <w:lang w:eastAsia="zh-CN"/>
        </w:rPr>
        <w:t>，</w:t>
      </w:r>
      <w:r>
        <w:rPr>
          <w:rFonts w:hint="default" w:ascii="Times New Roman" w:hAnsi="Times New Roman" w:eastAsia="仿宋_GB2312" w:cs="Times New Roman"/>
          <w:color w:val="auto"/>
          <w:highlight w:val="none"/>
        </w:rPr>
        <w:t>鼓励符合条件的各类市场主体开展</w:t>
      </w:r>
      <w:r>
        <w:rPr>
          <w:rFonts w:hint="default" w:ascii="Times New Roman" w:hAnsi="Times New Roman" w:cs="Times New Roman"/>
          <w:color w:val="auto"/>
          <w:highlight w:val="none"/>
          <w:lang w:eastAsia="zh-CN"/>
        </w:rPr>
        <w:t>产业</w:t>
      </w:r>
      <w:r>
        <w:rPr>
          <w:rFonts w:hint="default" w:ascii="Times New Roman" w:hAnsi="Times New Roman" w:eastAsia="仿宋_GB2312" w:cs="Times New Roman"/>
          <w:color w:val="auto"/>
          <w:highlight w:val="none"/>
        </w:rPr>
        <w:t>融合发展试点</w:t>
      </w:r>
      <w:r>
        <w:rPr>
          <w:rFonts w:hint="default" w:ascii="Times New Roman" w:hAnsi="Times New Roman" w:cs="Times New Roman"/>
          <w:color w:val="auto"/>
          <w:highlight w:val="none"/>
          <w:lang w:eastAsia="zh-CN"/>
        </w:rPr>
        <w:t>。</w:t>
      </w:r>
    </w:p>
    <w:p>
      <w:pPr>
        <w:pageBreakBefore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eastAsia="zh-CN"/>
        </w:rPr>
      </w:pPr>
      <w:r>
        <w:rPr>
          <w:rFonts w:hint="default" w:ascii="Times New Roman" w:hAnsi="Times New Roman" w:cs="Times New Roman"/>
          <w:b/>
          <w:bCs/>
          <w:color w:val="auto"/>
          <w:lang w:eastAsia="zh-CN"/>
        </w:rPr>
        <w:t>坚持产城融合。</w:t>
      </w:r>
      <w:r>
        <w:rPr>
          <w:rFonts w:hint="default" w:ascii="Times New Roman" w:hAnsi="Times New Roman" w:eastAsia="仿宋_GB2312" w:cs="Times New Roman"/>
          <w:i w:val="0"/>
          <w:iCs w:val="0"/>
          <w:caps w:val="0"/>
          <w:color w:val="auto"/>
          <w:spacing w:val="0"/>
          <w:sz w:val="32"/>
          <w:szCs w:val="32"/>
          <w:shd w:val="clear" w:fill="FFFFFF"/>
        </w:rPr>
        <w:t>坚持产城融合、特色发展，</w:t>
      </w:r>
      <w:r>
        <w:rPr>
          <w:rFonts w:hint="default" w:ascii="Times New Roman" w:hAnsi="Times New Roman" w:cs="Times New Roman"/>
          <w:i w:val="0"/>
          <w:iCs w:val="0"/>
          <w:caps w:val="0"/>
          <w:color w:val="auto"/>
          <w:spacing w:val="0"/>
          <w:sz w:val="32"/>
          <w:szCs w:val="32"/>
          <w:shd w:val="clear" w:fill="FFFFFF"/>
          <w:lang w:eastAsia="zh-CN"/>
        </w:rPr>
        <w:t>围绕经济高质量发展要求和高品质生活需求，</w:t>
      </w:r>
      <w:r>
        <w:rPr>
          <w:rFonts w:hint="default" w:ascii="Times New Roman" w:hAnsi="Times New Roman" w:cs="Times New Roman"/>
          <w:color w:val="auto"/>
          <w:lang w:eastAsia="zh-CN"/>
        </w:rPr>
        <w:t>不断优化服务业布局，强化城市中心综合服务功能，发挥网络化效应，支持各具特色的服务业集聚区建设。加快完善服务功能，促进商务商业、金融保险、创意设计等服务发展，增强健康医疗、教育培训、商贸物流、文体休闲等服务功能，推动园区、城市新区从单一功能向混合功能转型，</w:t>
      </w:r>
      <w:r>
        <w:rPr>
          <w:rFonts w:hint="default" w:ascii="Times New Roman" w:hAnsi="Times New Roman" w:cs="Times New Roman"/>
          <w:i w:val="0"/>
          <w:iCs w:val="0"/>
          <w:caps w:val="0"/>
          <w:color w:val="auto"/>
          <w:spacing w:val="0"/>
          <w:sz w:val="32"/>
          <w:szCs w:val="32"/>
          <w:shd w:val="clear" w:fill="FFFFFF"/>
          <w:lang w:eastAsia="zh-CN"/>
        </w:rPr>
        <w:t>推进生产性服务业高端化、生活性服务业高品质化。</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w:t>
            </w:r>
            <w:r>
              <w:rPr>
                <w:rFonts w:hint="eastAsia" w:ascii="Times New Roman" w:hAnsi="Times New Roman" w:eastAsia="黑体" w:cs="Times New Roman"/>
                <w:b/>
                <w:bCs/>
                <w:color w:val="auto"/>
                <w:sz w:val="24"/>
                <w:szCs w:val="24"/>
                <w:vertAlign w:val="baseline"/>
                <w:lang w:val="en-US" w:eastAsia="zh-CN"/>
              </w:rPr>
              <w:t>6</w:t>
            </w:r>
            <w:r>
              <w:rPr>
                <w:rFonts w:hint="default" w:ascii="Times New Roman" w:hAnsi="Times New Roman" w:eastAsia="黑体" w:cs="Times New Roman"/>
                <w:b/>
                <w:bCs/>
                <w:color w:val="auto"/>
                <w:sz w:val="24"/>
                <w:szCs w:val="24"/>
                <w:vertAlign w:val="baseline"/>
                <w:lang w:val="en-US" w:eastAsia="zh-CN"/>
              </w:rPr>
              <w:t>：融合工程重点任务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鼓励县区和开发区通过探索完善推进“两业融合”发展政策体系、培育融合发展新业态新模式、探索重点行业重点领域融合发展新路径、发挥多元化融合主体作用，大力推进省级“两业融合”试点工作，支持服务型制造示范企业和平台建设，力争建设服务型制造示范企业（平台）10个；开展省级农村产业融合发展示范园创建，持续推进农村一二三产业融合；积极争取创建国家融合发展先导区，创建一批省级先进制造业和现代服务业融合试点企业和示范园区。</w:t>
            </w:r>
          </w:p>
        </w:tc>
      </w:tr>
    </w:tbl>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27" w:name="_Toc464456184"/>
      <w:bookmarkStart w:id="28" w:name="_Toc24025"/>
      <w:bookmarkStart w:id="29" w:name="_Toc2103383874"/>
      <w:r>
        <w:rPr>
          <w:rFonts w:hint="default" w:ascii="Times New Roman" w:hAnsi="Times New Roman" w:eastAsia="方正楷体_GBK" w:cs="Times New Roman"/>
          <w:color w:val="auto"/>
          <w:lang w:val="en-US" w:eastAsia="zh-CN"/>
        </w:rPr>
        <w:t>（三）集聚引领工程</w:t>
      </w:r>
      <w:bookmarkEnd w:id="27"/>
      <w:bookmarkEnd w:id="28"/>
      <w:bookmarkEnd w:id="29"/>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cs="Times New Roman"/>
          <w:b/>
          <w:bCs/>
          <w:color w:val="auto"/>
          <w:lang w:eastAsia="zh-CN"/>
        </w:rPr>
      </w:pPr>
      <w:r>
        <w:rPr>
          <w:rFonts w:hint="default" w:ascii="Times New Roman" w:hAnsi="Times New Roman" w:cs="Times New Roman"/>
          <w:b w:val="0"/>
          <w:bCs w:val="0"/>
          <w:color w:val="auto"/>
          <w:lang w:val="en-US" w:eastAsia="zh-CN"/>
        </w:rPr>
        <w:t>增强服务业集聚区引领作用，将集聚区打造成要素吸附能力强、辐射作用明显、引领示范显著的服务业发展主要载体，培育一批有影响力的服务业集聚区品牌。</w:t>
      </w:r>
    </w:p>
    <w:p>
      <w:pPr>
        <w:pageBreakBefore w:val="0"/>
        <w:widowControl/>
        <w:kinsoku/>
        <w:wordWrap/>
        <w:overflowPunct/>
        <w:topLinePunct w:val="0"/>
        <w:autoSpaceDE w:val="0"/>
        <w:autoSpaceDN w:val="0"/>
        <w:bidi w:val="0"/>
        <w:adjustRightInd/>
        <w:snapToGrid/>
        <w:spacing w:line="600" w:lineRule="exact"/>
        <w:ind w:firstLine="0"/>
        <w:jc w:val="both"/>
        <w:textAlignment w:val="auto"/>
        <w:rPr>
          <w:rFonts w:hint="default" w:ascii="Times New Roman" w:hAnsi="Times New Roman" w:eastAsia="仿宋_GB2312" w:cs="Times New Roman"/>
          <w:color w:val="auto"/>
          <w:highlight w:val="none"/>
        </w:rPr>
      </w:pPr>
      <w:r>
        <w:rPr>
          <w:rFonts w:hint="default" w:ascii="Times New Roman" w:hAnsi="Times New Roman" w:cs="Times New Roman"/>
          <w:b/>
          <w:bCs/>
          <w:color w:val="auto"/>
          <w:lang w:eastAsia="zh-CN"/>
        </w:rPr>
        <w:t>推动集聚区提档升级。</w:t>
      </w:r>
      <w:r>
        <w:rPr>
          <w:rFonts w:hint="default" w:ascii="Times New Roman" w:hAnsi="Times New Roman" w:cs="Times New Roman"/>
          <w:b w:val="0"/>
          <w:bCs w:val="0"/>
          <w:color w:val="auto"/>
          <w:lang w:val="en-US" w:eastAsia="zh-CN"/>
        </w:rPr>
        <w:t>结合我市及各县区区域特色，引导和推动服务业集聚发展，</w:t>
      </w:r>
      <w:r>
        <w:rPr>
          <w:rFonts w:hint="default" w:ascii="Times New Roman" w:hAnsi="Times New Roman" w:eastAsia="仿宋_GB2312" w:cs="Times New Roman"/>
          <w:color w:val="auto"/>
          <w:highlight w:val="none"/>
        </w:rPr>
        <w:t>重点围绕现代物流、科技服务、软件与信息技术服务、电子商务、新型专业市场、中央商务等生产性服务业领域，加快建设一批服务业集聚区，积极培育创意设计、服务外包、总部经济等服务业特色园区。</w:t>
      </w:r>
      <w:r>
        <w:rPr>
          <w:rFonts w:hint="default" w:ascii="Times New Roman" w:hAnsi="Times New Roman" w:cs="Times New Roman"/>
          <w:color w:val="auto"/>
          <w:spacing w:val="-1"/>
        </w:rPr>
        <w:t>围绕集聚业态定位，加强上下游关联配套产业和配套基础设施建设，</w:t>
      </w:r>
      <w:r>
        <w:rPr>
          <w:rFonts w:hint="default" w:ascii="Times New Roman" w:hAnsi="Times New Roman" w:cs="Times New Roman"/>
          <w:color w:val="auto"/>
          <w:spacing w:val="-1"/>
          <w:lang w:val="en-US" w:eastAsia="zh-CN"/>
        </w:rPr>
        <w:t>进一步加强</w:t>
      </w:r>
      <w:r>
        <w:rPr>
          <w:rFonts w:hint="default" w:ascii="Times New Roman" w:hAnsi="Times New Roman" w:cs="Times New Roman"/>
          <w:color w:val="auto"/>
        </w:rPr>
        <w:t>服务业集聚区公共平台建设，搭建信息、统计、电子商务、科技研发、服务外包跟踪、金融服务、创业孵化等公共服务平台，完善和提升集聚区综合服务功能</w:t>
      </w:r>
      <w:r>
        <w:rPr>
          <w:rFonts w:hint="default" w:ascii="Times New Roman" w:hAnsi="Times New Roman" w:cs="Times New Roman"/>
          <w:color w:val="auto"/>
          <w:lang w:eastAsia="zh-CN"/>
        </w:rPr>
        <w:t>，</w:t>
      </w:r>
      <w:r>
        <w:rPr>
          <w:rFonts w:hint="default" w:ascii="Times New Roman" w:hAnsi="Times New Roman" w:cs="Times New Roman"/>
          <w:color w:val="auto"/>
        </w:rPr>
        <w:t>为入驻企业提供专业化、高质量的公共服务。创新</w:t>
      </w:r>
      <w:r>
        <w:rPr>
          <w:rFonts w:hint="default" w:ascii="Times New Roman" w:hAnsi="Times New Roman" w:cs="Times New Roman"/>
          <w:color w:val="auto"/>
          <w:lang w:val="en-US"/>
        </w:rPr>
        <w:t>服务业</w:t>
      </w:r>
      <w:r>
        <w:rPr>
          <w:rFonts w:hint="default" w:ascii="Times New Roman" w:hAnsi="Times New Roman" w:cs="Times New Roman"/>
          <w:color w:val="auto"/>
        </w:rPr>
        <w:t>集聚区的开发模式，注重市场化运作，吸引各类社会资本参与开发建设，拓展集聚区的品牌的集聚效应。</w:t>
      </w:r>
    </w:p>
    <w:p>
      <w:pPr>
        <w:pageBreakBefore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b w:val="0"/>
          <w:color w:val="auto"/>
          <w:sz w:val="32"/>
          <w:szCs w:val="32"/>
          <w:lang w:val="en-US" w:eastAsia="zh-CN"/>
        </w:rPr>
      </w:pPr>
      <w:r>
        <w:rPr>
          <w:rFonts w:hint="default" w:ascii="Times New Roman" w:hAnsi="Times New Roman" w:cs="Times New Roman"/>
          <w:b/>
          <w:color w:val="auto"/>
          <w:sz w:val="32"/>
          <w:szCs w:val="32"/>
          <w:lang w:eastAsia="zh-CN"/>
        </w:rPr>
        <w:t>推进</w:t>
      </w:r>
      <w:r>
        <w:rPr>
          <w:rFonts w:hint="default" w:ascii="Times New Roman" w:hAnsi="Times New Roman" w:cs="Times New Roman"/>
          <w:b/>
          <w:color w:val="auto"/>
          <w:sz w:val="32"/>
          <w:szCs w:val="32"/>
          <w:lang w:val="en-US" w:eastAsia="zh-CN"/>
        </w:rPr>
        <w:t>差异化</w:t>
      </w:r>
      <w:r>
        <w:rPr>
          <w:rFonts w:hint="default" w:ascii="Times New Roman" w:hAnsi="Times New Roman" w:cs="Times New Roman"/>
          <w:b/>
          <w:color w:val="auto"/>
          <w:sz w:val="32"/>
          <w:szCs w:val="32"/>
          <w:lang w:eastAsia="zh-CN"/>
        </w:rPr>
        <w:t>发展</w:t>
      </w:r>
      <w:r>
        <w:rPr>
          <w:rFonts w:hint="default" w:ascii="Times New Roman" w:hAnsi="Times New Roman" w:eastAsia="仿宋_GB2312" w:cs="Times New Roman"/>
          <w:b/>
          <w:bCs/>
          <w:color w:val="auto"/>
          <w:sz w:val="32"/>
          <w:szCs w:val="32"/>
        </w:rPr>
        <w:t>。</w:t>
      </w:r>
      <w:r>
        <w:rPr>
          <w:rFonts w:hint="default" w:ascii="Times New Roman" w:hAnsi="Times New Roman" w:cs="Times New Roman"/>
          <w:b w:val="0"/>
          <w:color w:val="auto"/>
          <w:sz w:val="32"/>
          <w:szCs w:val="32"/>
          <w:lang w:val="en-US" w:eastAsia="zh-CN"/>
        </w:rPr>
        <w:t>整合现代服务资源，促进高端服务要素集聚，引导服务业错位发展、集约发展、协同发展。大力推动</w:t>
      </w:r>
      <w:r>
        <w:rPr>
          <w:rFonts w:hint="default" w:ascii="Times New Roman" w:hAnsi="Times New Roman" w:cs="Times New Roman"/>
          <w:b w:val="0"/>
          <w:color w:val="auto"/>
          <w:sz w:val="32"/>
          <w:szCs w:val="32"/>
          <w:highlight w:val="none"/>
          <w:lang w:val="en-US" w:eastAsia="zh-CN"/>
        </w:rPr>
        <w:t>新老城区商圈、高铁商圈</w:t>
      </w:r>
      <w:r>
        <w:rPr>
          <w:rFonts w:hint="default" w:ascii="Times New Roman" w:hAnsi="Times New Roman" w:cs="Times New Roman"/>
          <w:b w:val="0"/>
          <w:color w:val="auto"/>
          <w:sz w:val="32"/>
          <w:szCs w:val="32"/>
          <w:lang w:val="en-US" w:eastAsia="zh-CN"/>
        </w:rPr>
        <w:t>等重点载体建设；加快发展科技服务、数字服务等现代服务业。加快建设以服务业为主导的开发区建设，重点打造市高新区云计算基地和黄淮海（宿州）智慧物流产业园等特色服务业园区。针对性发展与县域经济相配套的工业设计、信息服务、现代物流等生产性服务业。加大对县域交通运输、商贸流通等传统服务业的改造提升，通过创新完善商业结构布局，鼓励县域建设城市综合体。加快布局区域消费中心，集聚地区总部、采购中心、投资中心等。抓好“招智引才”工作，吸引优秀服务</w:t>
      </w:r>
      <w:r>
        <w:rPr>
          <w:rFonts w:hint="default" w:ascii="Times New Roman" w:hAnsi="Times New Roman" w:cs="Times New Roman"/>
          <w:i w:val="0"/>
          <w:iCs w:val="0"/>
          <w:caps w:val="0"/>
          <w:color w:val="auto"/>
          <w:spacing w:val="0"/>
          <w:sz w:val="32"/>
          <w:szCs w:val="32"/>
          <w:lang w:eastAsia="zh-CN"/>
        </w:rPr>
        <w:t>业管理人才和技术人才向县域流动，培养一批应用型人才，带动县域服务业向高层次发展。</w:t>
      </w:r>
    </w:p>
    <w:p>
      <w:pPr>
        <w:pageBreakBefore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b w:val="0"/>
          <w:bCs/>
          <w:i w:val="0"/>
          <w:iCs w:val="0"/>
          <w:caps w:val="0"/>
          <w:color w:val="auto"/>
          <w:spacing w:val="0"/>
          <w:sz w:val="32"/>
          <w:szCs w:val="32"/>
          <w:lang w:val="en-US" w:eastAsia="zh-CN"/>
        </w:rPr>
      </w:pPr>
      <w:r>
        <w:rPr>
          <w:rFonts w:hint="default" w:ascii="Times New Roman" w:hAnsi="Times New Roman" w:cs="Times New Roman"/>
          <w:b/>
          <w:i w:val="0"/>
          <w:iCs w:val="0"/>
          <w:caps w:val="0"/>
          <w:color w:val="auto"/>
          <w:spacing w:val="0"/>
          <w:sz w:val="32"/>
          <w:szCs w:val="32"/>
          <w:lang w:val="en-US" w:eastAsia="zh-CN"/>
        </w:rPr>
        <w:t>加快发展农村服务业。</w:t>
      </w:r>
      <w:r>
        <w:rPr>
          <w:rFonts w:hint="default" w:ascii="Times New Roman" w:hAnsi="Times New Roman" w:cs="Times New Roman"/>
          <w:b w:val="0"/>
          <w:bCs/>
          <w:i w:val="0"/>
          <w:iCs w:val="0"/>
          <w:caps w:val="0"/>
          <w:color w:val="auto"/>
          <w:spacing w:val="0"/>
          <w:sz w:val="32"/>
          <w:szCs w:val="32"/>
          <w:lang w:val="en-US" w:eastAsia="zh-CN"/>
        </w:rPr>
        <w:t>高度重视农村服务业集聚发展，将农村服务集聚发展纳入政府部门相关发展规划。加强城乡融合，通过城市延伸带动农村服务业集聚发展。扩大开放力度，吸引社会资本参与农村服务业集聚发展，实现农村服务业提档升级。优化营商发展环境，简化审批程序，降低农村服务业准入门槛。扎实推进新型城镇化建设，与乡村振兴战略、美丽乡村建设相融合，大力发展农业生产服务、农村电商、乡村旅游等涉农服务业，实施小农户生产托管服务促进工程，加快贯通县乡村电子商务体系和快递物流配送体系，畅通城乡双向联动销售渠道。</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w:t>
            </w:r>
            <w:r>
              <w:rPr>
                <w:rFonts w:hint="eastAsia" w:ascii="Times New Roman" w:hAnsi="Times New Roman" w:eastAsia="黑体" w:cs="Times New Roman"/>
                <w:b/>
                <w:bCs/>
                <w:color w:val="auto"/>
                <w:sz w:val="24"/>
                <w:szCs w:val="24"/>
                <w:vertAlign w:val="baseline"/>
                <w:lang w:val="en-US" w:eastAsia="zh-CN"/>
              </w:rPr>
              <w:t>7</w:t>
            </w:r>
            <w:r>
              <w:rPr>
                <w:rFonts w:hint="default" w:ascii="Times New Roman" w:hAnsi="Times New Roman" w:eastAsia="黑体" w:cs="Times New Roman"/>
                <w:b/>
                <w:bCs/>
                <w:color w:val="auto"/>
                <w:sz w:val="24"/>
                <w:szCs w:val="24"/>
                <w:vertAlign w:val="baseline"/>
                <w:lang w:val="en-US" w:eastAsia="zh-CN"/>
              </w:rPr>
              <w:t>：集聚引领工程重点任务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围绕服务业重点领域，持续推进省级服务业集聚区创建工作，引导组建服务业集聚区发展联盟。支持各类开发区积极规划布局生产性服务业集聚区，打造一批服务业特色强镇。到2025年，新增省级服务业集聚区10家左右、集聚示范区3家左右。</w:t>
            </w:r>
          </w:p>
        </w:tc>
      </w:tr>
    </w:tbl>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lang w:val="en-US"/>
        </w:rPr>
      </w:pP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30" w:name="_Toc1299048133"/>
      <w:r>
        <w:rPr>
          <w:rFonts w:hint="default" w:ascii="Times New Roman" w:hAnsi="Times New Roman" w:eastAsia="方正楷体_GBK" w:cs="Times New Roman"/>
          <w:color w:val="auto"/>
          <w:lang w:val="en-US" w:eastAsia="zh-CN"/>
        </w:rPr>
        <w:t>（四）一体协同工程</w:t>
      </w:r>
      <w:bookmarkEnd w:id="30"/>
    </w:p>
    <w:p>
      <w:pPr>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抢抓长三角一体化国家战略机遇，发挥省际毗邻地区区位优势，积极承接服务业布局和转移，促进服务业一体化发展，打造跨行政区协同发展的产城融合新城区，推动毗邻地区建设一批高能级服务业集聚平台，支持各县区开展服务业对口合作共建。</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eastAsia="zh-CN"/>
        </w:rPr>
        <w:t>构建一体化协同发展新格局。</w:t>
      </w:r>
      <w:r>
        <w:rPr>
          <w:rFonts w:hint="default" w:ascii="Times New Roman" w:hAnsi="Times New Roman" w:cs="Times New Roman"/>
          <w:b w:val="0"/>
          <w:bCs w:val="0"/>
          <w:color w:val="auto"/>
          <w:lang w:val="en-US" w:eastAsia="zh-CN"/>
        </w:rPr>
        <w:t>高质量推进长三角一体化发展，主动对接合肥都市圈、南京都市圈，大力加强与中国（安徽）自由贸易试验区、中国（江苏）自由贸易试验区连云港片区的对接合作，全方位参与淮河生态经济带和淮海经济区核心区协同发展</w:t>
      </w:r>
      <w:r>
        <w:rPr>
          <w:rFonts w:hint="default" w:ascii="Times New Roman" w:hAnsi="Times New Roman" w:cs="Times New Roman"/>
          <w:color w:val="auto"/>
          <w:lang w:val="en-US"/>
        </w:rPr>
        <w:t>，探索跨省际服务业区域合作协调，完善区域间利益协调机制</w:t>
      </w:r>
      <w:r>
        <w:rPr>
          <w:rFonts w:hint="default" w:ascii="Times New Roman" w:hAnsi="Times New Roman" w:cs="Times New Roman"/>
          <w:color w:val="auto"/>
          <w:lang w:val="en-US" w:eastAsia="zh-CN"/>
        </w:rPr>
        <w:t>。推动区域联动、资源共享、优势互补，</w:t>
      </w:r>
      <w:r>
        <w:rPr>
          <w:rFonts w:hint="default" w:ascii="Times New Roman" w:hAnsi="Times New Roman" w:cs="Times New Roman"/>
          <w:color w:val="auto"/>
          <w:lang w:val="en-US"/>
        </w:rPr>
        <w:t>加快建设区域间电子信息、现代物流、金融服务、文化旅游、健康养老等服务经济一体化平台，建立区域统一开放的人力资源、资本、技术等各类要素市场。</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打造承接产业转移示范带。</w:t>
      </w:r>
      <w:r>
        <w:rPr>
          <w:rFonts w:hint="default" w:ascii="Times New Roman" w:hAnsi="Times New Roman" w:cs="Times New Roman"/>
          <w:color w:val="auto"/>
          <w:lang w:val="en-US" w:eastAsia="zh-CN"/>
        </w:rPr>
        <w:t>全面落实皖北承接产业转移集聚区建设，积极打造沪苏浙产业转移承接促进平台、培养建设跨境电子商务平台、创建国家级创新平台，制定面向长三角等区域“双招双引”重点目录，聚力开展项目和人才招引。</w:t>
      </w:r>
      <w:r>
        <w:rPr>
          <w:rFonts w:hint="default" w:ascii="Times New Roman" w:hAnsi="Times New Roman" w:cs="Times New Roman"/>
          <w:color w:val="auto"/>
          <w:lang w:val="en-US"/>
        </w:rPr>
        <w:t>积极对接长三角，打造沪苏浙</w:t>
      </w:r>
      <w:r>
        <w:rPr>
          <w:rFonts w:hint="default" w:ascii="Times New Roman" w:hAnsi="Times New Roman" w:cs="Times New Roman"/>
          <w:color w:val="auto"/>
          <w:lang w:val="en-US" w:eastAsia="zh-CN"/>
        </w:rPr>
        <w:t>重点</w:t>
      </w:r>
      <w:r>
        <w:rPr>
          <w:rFonts w:hint="default" w:ascii="Times New Roman" w:hAnsi="Times New Roman" w:cs="Times New Roman"/>
          <w:color w:val="auto"/>
          <w:lang w:val="en-US"/>
        </w:rPr>
        <w:t>产业转移</w:t>
      </w:r>
      <w:r>
        <w:rPr>
          <w:rFonts w:hint="default" w:ascii="Times New Roman" w:hAnsi="Times New Roman" w:cs="Times New Roman"/>
          <w:color w:val="auto"/>
          <w:lang w:val="en-US" w:eastAsia="zh-CN"/>
        </w:rPr>
        <w:t>优选地，</w:t>
      </w:r>
      <w:r>
        <w:rPr>
          <w:rFonts w:hint="default" w:ascii="Times New Roman" w:hAnsi="Times New Roman" w:cs="Times New Roman"/>
          <w:color w:val="auto"/>
          <w:lang w:val="en-US"/>
        </w:rPr>
        <w:t>打造省际毗邻区域协同发展样板区。</w:t>
      </w:r>
      <w:r>
        <w:rPr>
          <w:rFonts w:hint="default" w:ascii="Times New Roman" w:hAnsi="Times New Roman" w:cs="Times New Roman"/>
          <w:color w:val="auto"/>
          <w:lang w:val="en-US" w:eastAsia="zh-CN"/>
        </w:rPr>
        <w:t>深度嵌入沪苏浙产业链、价值链，联合打造一批高水平服务业集聚区和创新平台，形成布局合理、特色鲜明、协调发展的产业承接空间新格局，打造引领区域高质量发展的支撑带。</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w:t>
            </w:r>
            <w:r>
              <w:rPr>
                <w:rFonts w:hint="eastAsia" w:ascii="Times New Roman" w:hAnsi="Times New Roman" w:eastAsia="黑体" w:cs="Times New Roman"/>
                <w:b/>
                <w:bCs/>
                <w:color w:val="auto"/>
                <w:sz w:val="24"/>
                <w:szCs w:val="24"/>
                <w:vertAlign w:val="baseline"/>
                <w:lang w:val="en-US" w:eastAsia="zh-CN"/>
              </w:rPr>
              <w:t>8</w:t>
            </w:r>
            <w:r>
              <w:rPr>
                <w:rFonts w:hint="default" w:ascii="Times New Roman" w:hAnsi="Times New Roman" w:eastAsia="黑体" w:cs="Times New Roman"/>
                <w:b/>
                <w:bCs/>
                <w:color w:val="auto"/>
                <w:sz w:val="24"/>
                <w:szCs w:val="24"/>
                <w:vertAlign w:val="baseline"/>
                <w:lang w:val="en-US" w:eastAsia="zh-CN"/>
              </w:rPr>
              <w:t>：一体协同工程重点任务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主动承接上海张江综合性国家科学中心的溢出效应，加快“一中心四平台”建设，深化“张江创造+宿州制造”。鼓励我市企业在长三角设立科研“飞地”，积极引进长三角龙头企业、科研院所在宿建设孵化基地，打造“外地研发—宿州孵化—宿州产业化”的新型模式。充分发挥中科大技术转移宿州分中心的作用，提升与安徽创新馆合作层级，积极参与合肥综合性科学中心建设。加快宿州高新区参与打造省“6+2”试验区建设，深化宿马现代产业园、泗涂产业园等省内南北合作园区建设。</w:t>
            </w:r>
          </w:p>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促进教育、医疗、旅游等基本公共服务便利共享，协同构建长三角重大突发事件应急体系，全面推进长三角医保一体化、居民服务“一卡通“、政务服务“一网通办”。通过更高层次全方位对接，到2025年，教育、医疗等基本公共服务水平与长三角平均水平差距大幅度缩小，为2035年达到长三角区域平均水平奠定坚实基础。</w:t>
            </w:r>
          </w:p>
        </w:tc>
      </w:tr>
    </w:tbl>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lang w:val="en-US" w:eastAsia="zh-CN"/>
        </w:rPr>
      </w:pP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31" w:name="_Toc29841"/>
      <w:bookmarkStart w:id="32" w:name="_Toc464456182"/>
      <w:bookmarkStart w:id="33" w:name="_Toc283386680"/>
      <w:r>
        <w:rPr>
          <w:rFonts w:hint="default" w:ascii="Times New Roman" w:hAnsi="Times New Roman" w:eastAsia="方正楷体_GBK" w:cs="Times New Roman"/>
          <w:color w:val="auto"/>
          <w:lang w:val="en-US" w:eastAsia="zh-CN"/>
        </w:rPr>
        <w:t>（五）项目支撑工程</w:t>
      </w:r>
      <w:bookmarkEnd w:id="31"/>
      <w:bookmarkEnd w:id="32"/>
      <w:bookmarkEnd w:id="33"/>
    </w:p>
    <w:p>
      <w:pPr>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建立健全合力协调推进工作机制，提升产业链招商、对接服务和项目落地推进能力，提升“双招双引”质效，建立服务业重点项目库。</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eastAsia="zh-CN"/>
        </w:rPr>
        <w:t>以项目带动服务业大发展。</w:t>
      </w:r>
      <w:r>
        <w:rPr>
          <w:rFonts w:hint="default" w:ascii="Times New Roman" w:hAnsi="Times New Roman" w:eastAsia="仿宋_GB2312" w:cs="Times New Roman"/>
          <w:b w:val="0"/>
          <w:bCs w:val="0"/>
          <w:color w:val="auto"/>
          <w:lang w:val="en-US" w:eastAsia="zh-CN"/>
        </w:rPr>
        <w:t>加快5G网络建设和商用步伐，</w:t>
      </w:r>
      <w:r>
        <w:rPr>
          <w:rFonts w:hint="default" w:ascii="Times New Roman" w:hAnsi="Times New Roman" w:eastAsia="仿宋_GB2312" w:cs="Times New Roman"/>
          <w:b w:val="0"/>
          <w:bCs w:val="0"/>
          <w:color w:val="auto"/>
          <w:lang w:eastAsia="zh-CN"/>
        </w:rPr>
        <w:t>实施“新基建</w:t>
      </w:r>
      <w:r>
        <w:rPr>
          <w:rFonts w:hint="default" w:ascii="Times New Roman" w:hAnsi="Times New Roman" w:eastAsia="仿宋_GB2312" w:cs="Times New Roman"/>
          <w:b w:val="0"/>
          <w:bCs w:val="0"/>
          <w:color w:val="auto"/>
          <w:lang w:val="en-US" w:eastAsia="zh-CN"/>
        </w:rPr>
        <w:t>+</w:t>
      </w:r>
      <w:r>
        <w:rPr>
          <w:rFonts w:hint="default" w:ascii="Times New Roman" w:hAnsi="Times New Roman" w:eastAsia="仿宋_GB2312" w:cs="Times New Roman"/>
          <w:b w:val="0"/>
          <w:bCs w:val="0"/>
          <w:color w:val="auto"/>
          <w:lang w:eastAsia="zh-CN"/>
        </w:rPr>
        <w:t>”行动，打牢服务业发展基础。</w:t>
      </w:r>
      <w:r>
        <w:rPr>
          <w:rFonts w:hint="default" w:ascii="Times New Roman" w:hAnsi="Times New Roman" w:eastAsia="仿宋_GB2312" w:cs="Times New Roman"/>
          <w:color w:val="auto"/>
        </w:rPr>
        <w:t>围绕国家政策导向、服务业转型升级方向和</w:t>
      </w:r>
      <w:r>
        <w:rPr>
          <w:rFonts w:hint="default" w:ascii="Times New Roman" w:hAnsi="Times New Roman" w:eastAsia="仿宋_GB2312" w:cs="Times New Roman"/>
          <w:color w:val="auto"/>
          <w:lang w:val="en-US"/>
        </w:rPr>
        <w:t>宿州</w:t>
      </w:r>
      <w:r>
        <w:rPr>
          <w:rFonts w:hint="default" w:ascii="Times New Roman" w:hAnsi="Times New Roman" w:eastAsia="仿宋_GB2312" w:cs="Times New Roman"/>
          <w:color w:val="auto"/>
        </w:rPr>
        <w:t>市</w:t>
      </w:r>
      <w:r>
        <w:rPr>
          <w:rFonts w:hint="default" w:ascii="Times New Roman" w:hAnsi="Times New Roman" w:eastAsia="仿宋_GB2312" w:cs="Times New Roman"/>
          <w:color w:val="auto"/>
          <w:lang w:val="en-US"/>
        </w:rPr>
        <w:t>优势资源</w:t>
      </w:r>
      <w:r>
        <w:rPr>
          <w:rFonts w:hint="default" w:ascii="Times New Roman" w:hAnsi="Times New Roman" w:eastAsia="仿宋_GB2312" w:cs="Times New Roman"/>
          <w:color w:val="auto"/>
        </w:rPr>
        <w:t>，在</w:t>
      </w:r>
      <w:r>
        <w:rPr>
          <w:rFonts w:hint="default" w:ascii="Times New Roman" w:hAnsi="Times New Roman" w:eastAsia="仿宋_GB2312" w:cs="Times New Roman"/>
          <w:color w:val="auto"/>
          <w:lang w:val="en-US"/>
        </w:rPr>
        <w:t>电子信息、</w:t>
      </w:r>
      <w:r>
        <w:rPr>
          <w:rFonts w:hint="default" w:ascii="Times New Roman" w:hAnsi="Times New Roman" w:eastAsia="仿宋_GB2312" w:cs="Times New Roman"/>
          <w:color w:val="auto"/>
        </w:rPr>
        <w:t>现代物流、文化旅游、健康养老等前沿领域，认真</w:t>
      </w:r>
      <w:r>
        <w:rPr>
          <w:rFonts w:hint="default" w:ascii="Times New Roman" w:hAnsi="Times New Roman" w:eastAsia="仿宋_GB2312" w:cs="Times New Roman"/>
          <w:color w:val="auto"/>
          <w:lang w:val="en-US"/>
        </w:rPr>
        <w:t>筛选</w:t>
      </w:r>
      <w:r>
        <w:rPr>
          <w:rFonts w:hint="default" w:ascii="Times New Roman" w:hAnsi="Times New Roman" w:eastAsia="仿宋_GB2312" w:cs="Times New Roman"/>
          <w:color w:val="auto"/>
        </w:rPr>
        <w:t>、包装、储备一批具有市场竞争力的服务业重大项目，</w:t>
      </w:r>
      <w:r>
        <w:rPr>
          <w:rFonts w:hint="default" w:ascii="Times New Roman" w:hAnsi="Times New Roman" w:eastAsia="仿宋_GB2312" w:cs="Times New Roman"/>
          <w:color w:val="auto"/>
          <w:lang w:val="en-US"/>
        </w:rPr>
        <w:t>按照</w:t>
      </w:r>
      <w:r>
        <w:rPr>
          <w:rFonts w:hint="default" w:ascii="Times New Roman" w:hAnsi="Times New Roman" w:eastAsia="仿宋_GB2312" w:cs="Times New Roman"/>
          <w:color w:val="auto"/>
        </w:rPr>
        <w:t>“实施一批、谋划一批、储备一批、补充一批”</w:t>
      </w:r>
      <w:r>
        <w:rPr>
          <w:rFonts w:hint="default" w:ascii="Times New Roman" w:hAnsi="Times New Roman" w:eastAsia="仿宋_GB2312" w:cs="Times New Roman"/>
          <w:color w:val="auto"/>
          <w:lang w:val="en-US"/>
        </w:rPr>
        <w:t>要求</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lang w:val="en-US"/>
        </w:rPr>
        <w:t>开展项目实施，</w:t>
      </w:r>
      <w:r>
        <w:rPr>
          <w:rFonts w:hint="default" w:ascii="Times New Roman" w:hAnsi="Times New Roman" w:eastAsia="仿宋_GB2312" w:cs="Times New Roman"/>
          <w:color w:val="auto"/>
        </w:rPr>
        <w:t>增强服务业发展后劲。争取将市服务业重大项目列入年度省重点项目，每年推进一批现代服务业重大项目建设，同步跟踪管理服务。</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提升“双招双引”质效。</w:t>
      </w:r>
      <w:r>
        <w:rPr>
          <w:rFonts w:hint="default" w:ascii="Times New Roman" w:hAnsi="Times New Roman" w:cs="Times New Roman"/>
          <w:color w:val="auto"/>
          <w:lang w:val="en-US" w:eastAsia="zh-CN"/>
        </w:rPr>
        <w:t>突出“双招双引”对全</w:t>
      </w:r>
      <w:r>
        <w:rPr>
          <w:rFonts w:hint="default" w:ascii="Times New Roman" w:hAnsi="Times New Roman" w:cs="Times New Roman"/>
          <w:color w:val="auto"/>
          <w:lang w:eastAsia="zh-CN"/>
        </w:rPr>
        <w:t>市</w:t>
      </w:r>
      <w:r>
        <w:rPr>
          <w:rFonts w:hint="default" w:ascii="Times New Roman" w:hAnsi="Times New Roman" w:cs="Times New Roman"/>
          <w:color w:val="auto"/>
          <w:lang w:val="en-US" w:eastAsia="zh-CN"/>
        </w:rPr>
        <w:t>服务业创新发展、人才集聚、产业塑造的引领作用，坚持全球视野、顶格战法、高效服务，用市场逻辑谋事，用资本力量干事，汇聚要素、做强增量，全面提升服务业发展动能。</w:t>
      </w:r>
      <w:r>
        <w:rPr>
          <w:rFonts w:hint="default" w:ascii="Times New Roman" w:hAnsi="Times New Roman" w:cs="Times New Roman"/>
          <w:color w:val="auto"/>
        </w:rPr>
        <w:t>加大现代服务业招商力度，采取灵活产业链招商、以商招商、专题招商、小分队招商等方式，在</w:t>
      </w:r>
      <w:r>
        <w:rPr>
          <w:rFonts w:hint="default" w:ascii="Times New Roman" w:hAnsi="Times New Roman" w:cs="Times New Roman"/>
          <w:color w:val="auto"/>
          <w:lang w:val="en-US"/>
        </w:rPr>
        <w:t>电子信息</w:t>
      </w:r>
      <w:r>
        <w:rPr>
          <w:rFonts w:hint="default" w:ascii="Times New Roman" w:hAnsi="Times New Roman" w:cs="Times New Roman"/>
          <w:color w:val="auto"/>
        </w:rPr>
        <w:t>、现代物流、文化创意、健康养老等行业开展有针对性的招商，引进和建设一批科技含量高、产业带动好、市场竞争力强的现代服务业项目，不断强化重大项目对产业集群集聚的示范带动作用。</w:t>
      </w:r>
      <w:r>
        <w:rPr>
          <w:rFonts w:hint="default" w:ascii="Times New Roman" w:hAnsi="Times New Roman" w:cs="Times New Roman"/>
          <w:color w:val="auto"/>
          <w:lang w:val="en-US" w:eastAsia="zh-CN"/>
        </w:rPr>
        <w:t>加强项目用地用能等要素保障，对关系全局和长远发展的重大服务业项目开设绿色通道。</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w:t>
            </w:r>
            <w:r>
              <w:rPr>
                <w:rFonts w:hint="eastAsia" w:ascii="Times New Roman" w:hAnsi="Times New Roman" w:eastAsia="黑体" w:cs="Times New Roman"/>
                <w:b/>
                <w:bCs/>
                <w:color w:val="auto"/>
                <w:sz w:val="24"/>
                <w:szCs w:val="24"/>
                <w:vertAlign w:val="baseline"/>
                <w:lang w:val="en-US" w:eastAsia="zh-CN"/>
              </w:rPr>
              <w:t>9</w:t>
            </w:r>
            <w:r>
              <w:rPr>
                <w:rFonts w:hint="default" w:ascii="Times New Roman" w:hAnsi="Times New Roman" w:eastAsia="黑体" w:cs="Times New Roman"/>
                <w:b/>
                <w:bCs/>
                <w:color w:val="auto"/>
                <w:sz w:val="24"/>
                <w:szCs w:val="24"/>
                <w:vertAlign w:val="baseline"/>
                <w:lang w:val="en-US" w:eastAsia="zh-CN"/>
              </w:rPr>
              <w:t>：项目支撑工程重点任务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i w:val="0"/>
                <w:iCs w:val="0"/>
                <w:caps w:val="0"/>
                <w:color w:val="auto"/>
                <w:spacing w:val="0"/>
                <w:sz w:val="24"/>
                <w:szCs w:val="24"/>
                <w:shd w:val="clear" w:fill="FFFFFF"/>
              </w:rPr>
              <w:t>加快推进皖北承接产业转移集聚区建设，围绕“5+5+N”现代化产业体系，</w:t>
            </w:r>
            <w:r>
              <w:rPr>
                <w:rFonts w:hint="default" w:ascii="Times New Roman" w:hAnsi="Times New Roman" w:eastAsia="宋体" w:cs="Times New Roman"/>
                <w:color w:val="auto"/>
                <w:sz w:val="24"/>
                <w:szCs w:val="24"/>
                <w:vertAlign w:val="baseline"/>
                <w:lang w:val="en-US" w:eastAsia="zh-CN"/>
              </w:rPr>
              <w:t>成立市“双招双引”工作领导小组，坚持顶格倾听、顶格推进、顶格协调，全维度、高强度推动“双招双引”攻势，统筹协调解决需要市级层面解决的事关创新创业、项目落地、要素保障等重点问题。坚持领导带头招商，规范并完善市四大班子领导、各县区（园区）主要负责同志每月带头外出招商机制。成立专项工作组，制定专项工作方案，细化分解任务，分类做好项目招引各项工作任务，以行政合力推动全市“双招双引”工作良性运行。各县区、园区成立相应的组织协调机构提供全方位服务。市直有关部门在规划编制、政策实施、项目布局、体制创新等方面给予支持，并积极协调争取上级政策、资金、项目支持，形成齐抓共管、多方参与、协调联动的招引大格局。</w:t>
            </w:r>
          </w:p>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“十四五”期间，确保市级服务业重大项目库始终保持200个以上项目，服务业投资增速不低于15%。</w:t>
            </w:r>
          </w:p>
        </w:tc>
      </w:tr>
    </w:tbl>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rPr>
      </w:pP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34" w:name="_Toc1452785902"/>
      <w:r>
        <w:rPr>
          <w:rFonts w:hint="default" w:ascii="Times New Roman" w:hAnsi="Times New Roman" w:eastAsia="方正楷体_GBK" w:cs="Times New Roman"/>
          <w:color w:val="auto"/>
          <w:lang w:val="en-US" w:eastAsia="zh-CN"/>
        </w:rPr>
        <w:t>（六）质量提升工程</w:t>
      </w:r>
      <w:bookmarkEnd w:id="24"/>
      <w:bookmarkEnd w:id="25"/>
      <w:bookmarkEnd w:id="34"/>
    </w:p>
    <w:p>
      <w:pPr>
        <w:pageBreakBefore w:val="0"/>
        <w:widowControl w:val="0"/>
        <w:kinsoku/>
        <w:wordWrap/>
        <w:overflowPunct/>
        <w:topLinePunct w:val="0"/>
        <w:autoSpaceDE w:val="0"/>
        <w:autoSpaceDN w:val="0"/>
        <w:bidi w:val="0"/>
        <w:adjustRightInd/>
        <w:snapToGrid/>
        <w:spacing w:line="600" w:lineRule="exact"/>
        <w:ind w:firstLine="0"/>
        <w:textAlignment w:val="auto"/>
        <w:rPr>
          <w:rFonts w:hint="default" w:ascii="Times New Roman" w:hAnsi="Times New Roman" w:cs="Times New Roman"/>
          <w:color w:val="auto"/>
          <w:lang w:val="en-US" w:eastAsia="zh-CN"/>
        </w:rPr>
      </w:pPr>
      <w:bookmarkStart w:id="35" w:name="_Toc18866"/>
      <w:bookmarkStart w:id="36" w:name="_Toc464456181"/>
      <w:r>
        <w:rPr>
          <w:rFonts w:hint="default" w:ascii="Times New Roman" w:hAnsi="Times New Roman" w:cs="Times New Roman"/>
          <w:color w:val="auto"/>
          <w:lang w:val="en-US" w:eastAsia="zh-CN"/>
        </w:rPr>
        <w:t>充分挖掘我市特色产品和服务优势，深化服务业标准化建设，进一步推升宿州服务品牌知名度和影响力。</w:t>
      </w:r>
    </w:p>
    <w:p>
      <w:pPr>
        <w:pageBreakBefore w:val="0"/>
        <w:widowControl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eastAsia="zh-CN"/>
        </w:rPr>
        <w:t>实施</w:t>
      </w:r>
      <w:r>
        <w:rPr>
          <w:rFonts w:hint="default" w:ascii="Times New Roman" w:hAnsi="Times New Roman" w:cs="Times New Roman"/>
          <w:b/>
          <w:bCs/>
          <w:color w:val="auto"/>
          <w:lang w:val="en-US"/>
        </w:rPr>
        <w:t>服务业品牌战略</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以服务品牌培育和服务行业标准化建设为重点，着力提升服务业区域影响力和辐射带动能力。积极推动服务业企业自主品牌创建，重点培育信息服务、现代物流、科技服务、金融服务、电子商务等生产服务业品牌，创建物联网、云计算、大数据等新兴服务业品牌；打造健康养老、现代商贸、家庭服务等生活服务业品牌，形成一批在全省乃至全国范围内有影响的服务业品牌企业和服务业区域品牌。</w:t>
      </w:r>
      <w:r>
        <w:rPr>
          <w:rFonts w:hint="default" w:ascii="Times New Roman" w:hAnsi="Times New Roman" w:cs="Times New Roman"/>
          <w:color w:val="auto"/>
          <w:lang w:val="en-US" w:eastAsia="zh-CN"/>
        </w:rPr>
        <w:t>加强品牌保护和宣传，严厉打击生产、销售假冒名牌产品等违法行为，做好品牌促进、品牌推介、品牌保护、品牌信息、售后认证等公共服务，加强省级品牌认定工作。</w:t>
      </w:r>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rPr>
        <w:t>开展服务业标准化建设。</w:t>
      </w:r>
      <w:r>
        <w:rPr>
          <w:rFonts w:hint="default" w:ascii="Times New Roman" w:hAnsi="Times New Roman" w:cs="Times New Roman"/>
          <w:color w:val="auto"/>
          <w:lang w:val="en-US"/>
        </w:rPr>
        <w:t>积极推广国际质量管理标准，引导服务行业企业积极开展国际标准认定，不断提高服务业管理水平。尽快完善我市服务业标准化管理相关制度，突出抓好信息、物流、金融、科技、商贸、旅游、体育、养老、教育、家政等重点领域服务标准的制（修）订、实施与推广。</w:t>
      </w:r>
      <w:r>
        <w:rPr>
          <w:rFonts w:hint="default" w:ascii="Times New Roman" w:hAnsi="Times New Roman" w:cs="Times New Roman"/>
          <w:color w:val="auto"/>
          <w:lang w:val="en-US" w:eastAsia="zh-CN"/>
        </w:rPr>
        <w:t>推进新型消费标准化建设,支持和鼓励平台企业、行业组织、研究机构等研究制定支撑新型消费的服务标准。鼓励社会团体和企业制定高于国家标准或行业标准的团体标准、企业标准。</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w:t>
            </w:r>
            <w:r>
              <w:rPr>
                <w:rFonts w:hint="eastAsia" w:ascii="Times New Roman" w:hAnsi="Times New Roman" w:eastAsia="黑体" w:cs="Times New Roman"/>
                <w:b/>
                <w:bCs/>
                <w:color w:val="auto"/>
                <w:sz w:val="24"/>
                <w:szCs w:val="24"/>
                <w:vertAlign w:val="baseline"/>
                <w:lang w:val="en-US" w:eastAsia="zh-CN"/>
              </w:rPr>
              <w:t>10</w:t>
            </w:r>
            <w:r>
              <w:rPr>
                <w:rFonts w:hint="default" w:ascii="Times New Roman" w:hAnsi="Times New Roman" w:eastAsia="黑体" w:cs="Times New Roman"/>
                <w:b/>
                <w:bCs/>
                <w:color w:val="auto"/>
                <w:sz w:val="24"/>
                <w:szCs w:val="24"/>
                <w:vertAlign w:val="baseline"/>
                <w:lang w:val="en-US" w:eastAsia="zh-CN"/>
              </w:rPr>
              <w:t>：质量提升工程重点任务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vertAlign w:val="baseline"/>
                <w:lang w:val="en-US" w:eastAsia="zh-CN"/>
              </w:rPr>
              <w:t>深入实施增品种、提品质、创品牌的“三品”战略和品牌发展提升工程，支持企业争创驰名商标，提振发展老字号品牌,保护、促进和引导老字号转型发展,提升老字号品牌价值。积极推荐企业参与“中华老字号”“安徽老字号”认定和“长三角老字号”集中展示活动。强化品牌规划引领、品牌培育创建，努力形成一批拥有自主知识产权的品牌产品。到2025年，全市驰名商标达到13个。</w:t>
            </w:r>
          </w:p>
        </w:tc>
      </w:tr>
    </w:tbl>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37" w:name="_Toc1190703581"/>
      <w:r>
        <w:rPr>
          <w:rFonts w:hint="default" w:ascii="Times New Roman" w:hAnsi="Times New Roman" w:eastAsia="方正楷体_GBK" w:cs="Times New Roman"/>
          <w:color w:val="auto"/>
          <w:lang w:val="en-US" w:eastAsia="zh-CN"/>
        </w:rPr>
        <w:t>（七）企业培育工程</w:t>
      </w:r>
      <w:bookmarkEnd w:id="35"/>
      <w:bookmarkEnd w:id="36"/>
      <w:bookmarkEnd w:id="37"/>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加大服务业企业引进培育力度，加快培育服务业领军企业,全面增强服务业市场主体的支撑能力。</w:t>
      </w:r>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合力发展中小企业。</w:t>
      </w:r>
      <w:r>
        <w:rPr>
          <w:rFonts w:hint="default" w:ascii="Times New Roman" w:hAnsi="Times New Roman" w:eastAsia="仿宋_GB2312" w:cs="Times New Roman"/>
          <w:color w:val="auto"/>
          <w:sz w:val="32"/>
          <w:szCs w:val="32"/>
        </w:rPr>
        <w:t>推进服务业中小企业加快发展，鼓励设立各类创业投资引导基金，开展中小企业信用担保体系建设，支持以服务业中小企业为重点的创业创新活动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在企业经营、人才技能培训、信贷金融支持等方面进一步优化服务，全面降低</w:t>
      </w:r>
      <w:r>
        <w:rPr>
          <w:rFonts w:hint="default" w:ascii="Times New Roman" w:hAnsi="Times New Roman" w:cs="Times New Roman"/>
          <w:color w:val="auto"/>
          <w:sz w:val="32"/>
          <w:szCs w:val="32"/>
          <w:lang w:val="en-US" w:eastAsia="zh-CN"/>
        </w:rPr>
        <w:t>中小</w:t>
      </w:r>
      <w:r>
        <w:rPr>
          <w:rFonts w:hint="default" w:ascii="Times New Roman" w:hAnsi="Times New Roman" w:eastAsia="仿宋_GB2312" w:cs="Times New Roman"/>
          <w:color w:val="auto"/>
          <w:sz w:val="32"/>
          <w:szCs w:val="32"/>
          <w:lang w:val="en-US" w:eastAsia="zh-CN"/>
        </w:rPr>
        <w:t>企业综合融资成本</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提升企业综合竞争力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落实更大规模减税降费，全面落实惠企各项政策，实质性降低企业负担。落实涉企收费清单制度，清理违规涉企收费、摊派事项和各类评比达标活动。</w:t>
      </w:r>
      <w:r>
        <w:rPr>
          <w:rFonts w:hint="default" w:ascii="Times New Roman" w:hAnsi="Times New Roman" w:eastAsia="仿宋_GB2312" w:cs="Times New Roman"/>
          <w:color w:val="auto"/>
          <w:sz w:val="32"/>
          <w:szCs w:val="32"/>
        </w:rPr>
        <w:t>进一步深化“放管服”改革，持续优化营商环境，坚守窗口服务主阵地、开拓网上服务新战场、争当护航服务主力军，推动以中小企业为基础的市场主体规模不断提升</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鼓励</w:t>
      </w:r>
      <w:r>
        <w:rPr>
          <w:rFonts w:hint="default" w:ascii="Times New Roman" w:hAnsi="Times New Roman" w:cs="Times New Roman"/>
          <w:color w:val="auto"/>
          <w:sz w:val="32"/>
          <w:szCs w:val="32"/>
          <w:lang w:val="en-US" w:eastAsia="zh-CN"/>
        </w:rPr>
        <w:t>中小</w:t>
      </w:r>
      <w:r>
        <w:rPr>
          <w:rFonts w:hint="default" w:ascii="Times New Roman" w:hAnsi="Times New Roman" w:eastAsia="仿宋_GB2312" w:cs="Times New Roman"/>
          <w:color w:val="auto"/>
          <w:sz w:val="32"/>
          <w:szCs w:val="32"/>
          <w:lang w:val="en-US" w:eastAsia="zh-CN"/>
        </w:rPr>
        <w:t>企业与龙头企业开展协作配套，在细分领域培育一批“专精特新”“小巨人”和“单项冠军”企业</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加快培育龙头企业</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eastAsia="zh-CN"/>
        </w:rPr>
        <w:t>实施</w:t>
      </w:r>
      <w:r>
        <w:rPr>
          <w:rFonts w:hint="default" w:ascii="Times New Roman" w:hAnsi="Times New Roman" w:eastAsia="仿宋_GB2312" w:cs="Times New Roman"/>
          <w:color w:val="auto"/>
          <w:sz w:val="32"/>
          <w:szCs w:val="32"/>
          <w:lang w:val="en-US" w:eastAsia="zh-CN"/>
        </w:rPr>
        <w:t>龙头企业培育专项行动</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鼓励龙头企业</w:t>
      </w:r>
      <w:r>
        <w:rPr>
          <w:rFonts w:hint="default" w:ascii="Times New Roman" w:hAnsi="Times New Roman" w:eastAsia="仿宋_GB2312" w:cs="Times New Roman"/>
          <w:color w:val="auto"/>
          <w:kern w:val="0"/>
          <w:sz w:val="32"/>
          <w:szCs w:val="32"/>
          <w:lang w:val="en-US" w:eastAsia="zh-CN" w:bidi="ar"/>
        </w:rPr>
        <w:t>围绕产业链开展兼并、联合、重组，实现规模化、品牌化、连锁化、网络化发展</w:t>
      </w:r>
      <w:r>
        <w:rPr>
          <w:rFonts w:hint="default" w:ascii="Times New Roman" w:hAnsi="Times New Roman" w:eastAsia="仿宋_GB2312" w:cs="Times New Roman"/>
          <w:color w:val="auto"/>
          <w:sz w:val="32"/>
          <w:szCs w:val="32"/>
        </w:rPr>
        <w:t>，强化企业市场地位</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highlight w:val="none"/>
          <w:lang w:val="en-US" w:eastAsia="zh-CN"/>
        </w:rPr>
        <w:t>通过龙头企业牵引，按照</w:t>
      </w:r>
      <w:r>
        <w:rPr>
          <w:rFonts w:hint="default" w:ascii="Times New Roman" w:hAnsi="Times New Roman" w:eastAsia="仿宋_GB2312" w:cs="Times New Roman"/>
          <w:color w:val="auto"/>
          <w:sz w:val="32"/>
          <w:szCs w:val="32"/>
          <w:highlight w:val="none"/>
          <w:lang w:val="en-US" w:eastAsia="zh-CN"/>
        </w:rPr>
        <w:t>“龙头企业-大项目-产业链-产业集群-产业基地”的发展思路，打造一批产业配套完备、创新优势突出、区域特色明显、规模效益显著</w:t>
      </w:r>
      <w:r>
        <w:rPr>
          <w:rFonts w:hint="default" w:ascii="Times New Roman" w:hAnsi="Times New Roman" w:cs="Times New Roman"/>
          <w:color w:val="auto"/>
          <w:sz w:val="32"/>
          <w:szCs w:val="32"/>
          <w:highlight w:val="none"/>
          <w:lang w:val="en-US" w:eastAsia="zh-CN"/>
        </w:rPr>
        <w:t>的产业园区。</w:t>
      </w:r>
      <w:r>
        <w:rPr>
          <w:rFonts w:hint="default" w:ascii="Times New Roman" w:hAnsi="Times New Roman" w:eastAsia="仿宋_GB2312" w:cs="Times New Roman"/>
          <w:color w:val="auto"/>
          <w:sz w:val="32"/>
          <w:szCs w:val="32"/>
        </w:rPr>
        <w:t>积极支持龙头企业拓展市场空间，将服务网络延伸到</w:t>
      </w:r>
      <w:r>
        <w:rPr>
          <w:rFonts w:hint="default" w:ascii="Times New Roman" w:hAnsi="Times New Roman" w:eastAsia="仿宋_GB2312" w:cs="Times New Roman"/>
          <w:color w:val="auto"/>
          <w:sz w:val="32"/>
          <w:szCs w:val="32"/>
          <w:lang w:val="en-US"/>
        </w:rPr>
        <w:t>宿州</w:t>
      </w:r>
      <w:r>
        <w:rPr>
          <w:rFonts w:hint="default" w:ascii="Times New Roman" w:hAnsi="Times New Roman" w:eastAsia="仿宋_GB2312" w:cs="Times New Roman"/>
          <w:color w:val="auto"/>
          <w:sz w:val="32"/>
          <w:szCs w:val="32"/>
        </w:rPr>
        <w:t>市以外的区域。以引领行业发展为导向，大力引进具有先进技术和经营模式、</w:t>
      </w:r>
      <w:r>
        <w:rPr>
          <w:rFonts w:hint="default" w:ascii="Times New Roman" w:hAnsi="Times New Roman" w:eastAsia="仿宋_GB2312" w:cs="Times New Roman"/>
          <w:color w:val="auto"/>
          <w:sz w:val="32"/>
          <w:szCs w:val="32"/>
          <w:lang w:eastAsia="zh-CN"/>
        </w:rPr>
        <w:t>产业</w:t>
      </w:r>
      <w:r>
        <w:rPr>
          <w:rFonts w:hint="default" w:ascii="Times New Roman" w:hAnsi="Times New Roman" w:eastAsia="仿宋_GB2312" w:cs="Times New Roman"/>
          <w:color w:val="auto"/>
          <w:sz w:val="32"/>
          <w:szCs w:val="32"/>
          <w:lang w:val="en-US" w:eastAsia="zh-CN"/>
        </w:rPr>
        <w:t>关联度大、创新能力强、</w:t>
      </w:r>
      <w:r>
        <w:rPr>
          <w:rFonts w:hint="default" w:ascii="Times New Roman" w:hAnsi="Times New Roman" w:eastAsia="仿宋_GB2312" w:cs="Times New Roman"/>
          <w:color w:val="auto"/>
          <w:sz w:val="32"/>
          <w:szCs w:val="32"/>
        </w:rPr>
        <w:t>具有资本优势和市场优势的现代化大型服务业企业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从功能和理念上示范、引领相关服务业加快朝现代化、国际化方向发展，促进产业层级提升。</w:t>
      </w:r>
    </w:p>
    <w:p>
      <w:pPr>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cs="Times New Roman"/>
          <w:color w:val="auto"/>
          <w:lang w:val="en-US"/>
        </w:rPr>
      </w:pPr>
      <w:r>
        <w:rPr>
          <w:rFonts w:hint="default" w:ascii="Times New Roman" w:hAnsi="Times New Roman" w:eastAsia="仿宋_GB2312" w:cs="Times New Roman"/>
          <w:b/>
          <w:bCs/>
          <w:color w:val="auto"/>
          <w:szCs w:val="32"/>
          <w:lang w:val="en-US"/>
        </w:rPr>
        <w:t>发挥行业协会作用</w:t>
      </w:r>
      <w:r>
        <w:rPr>
          <w:rFonts w:hint="default" w:ascii="Times New Roman" w:hAnsi="Times New Roman" w:eastAsia="仿宋_GB2312" w:cs="Times New Roman"/>
          <w:b/>
          <w:bCs/>
          <w:color w:val="auto"/>
          <w:szCs w:val="32"/>
          <w:lang w:val="en-US" w:eastAsia="zh-CN"/>
        </w:rPr>
        <w:t>。</w:t>
      </w:r>
      <w:r>
        <w:rPr>
          <w:rFonts w:hint="default" w:ascii="Times New Roman" w:hAnsi="Times New Roman" w:eastAsia="仿宋_GB2312" w:cs="Times New Roman"/>
          <w:color w:val="auto"/>
          <w:szCs w:val="32"/>
          <w:lang w:val="en-US" w:eastAsia="zh-CN"/>
        </w:rPr>
        <w:t>积极培育发展各类服务业协会、商会，促进要素资源合理流动和整合。</w:t>
      </w:r>
      <w:r>
        <w:rPr>
          <w:rFonts w:hint="default" w:ascii="Times New Roman" w:hAnsi="Times New Roman" w:eastAsia="仿宋_GB2312" w:cs="Times New Roman"/>
          <w:color w:val="auto"/>
          <w:szCs w:val="32"/>
          <w:lang w:val="en-US"/>
        </w:rPr>
        <w:t>充分发挥行业协会、商会在</w:t>
      </w:r>
      <w:r>
        <w:rPr>
          <w:rFonts w:hint="default" w:ascii="Times New Roman" w:hAnsi="Times New Roman" w:eastAsia="仿宋_GB2312" w:cs="Times New Roman"/>
          <w:color w:val="auto"/>
          <w:szCs w:val="32"/>
          <w:lang w:val="en-US" w:eastAsia="zh-CN"/>
        </w:rPr>
        <w:t>沟通政府、企业和市场的桥梁和纽带作用</w:t>
      </w:r>
      <w:r>
        <w:rPr>
          <w:rFonts w:hint="default" w:ascii="Times New Roman" w:hAnsi="Times New Roman" w:eastAsia="仿宋_GB2312" w:cs="Times New Roman"/>
          <w:color w:val="auto"/>
          <w:szCs w:val="32"/>
          <w:lang w:val="en-US"/>
        </w:rPr>
        <w:t>，</w:t>
      </w:r>
      <w:r>
        <w:rPr>
          <w:rFonts w:hint="default" w:ascii="Times New Roman" w:hAnsi="Times New Roman" w:eastAsia="仿宋_GB2312" w:cs="Times New Roman"/>
          <w:color w:val="auto"/>
          <w:szCs w:val="32"/>
          <w:lang w:val="en-US" w:eastAsia="zh-CN"/>
        </w:rPr>
        <w:t>通过搭建信息服务、合作交流以及人才培训等平台，参与制定行业标准规范，开展行业自律，促进银企合作，帮助中小企业拓展市场，发挥专家作用，开展人才培训。突破部门与地区界限，链接产业上中下游，担当横向协调、纵向协调的角色，通过参与市场监管、市场诚信建设、知识产权保护、科技攻关、慈善公益等行为和手段，不断增强实体经济和中小企业的内生动力和发展质量</w:t>
      </w:r>
      <w:r>
        <w:rPr>
          <w:rFonts w:hint="default" w:ascii="Times New Roman" w:hAnsi="Times New Roman" w:cs="Times New Roman"/>
          <w:color w:val="auto"/>
          <w:lang w:val="en-US" w:eastAsia="zh-CN"/>
        </w:rPr>
        <w:t>。</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专栏1</w:t>
            </w:r>
            <w:r>
              <w:rPr>
                <w:rFonts w:hint="eastAsia" w:ascii="Times New Roman" w:hAnsi="Times New Roman" w:eastAsia="黑体" w:cs="Times New Roman"/>
                <w:b/>
                <w:bCs/>
                <w:color w:val="auto"/>
                <w:sz w:val="24"/>
                <w:szCs w:val="24"/>
                <w:vertAlign w:val="baseline"/>
                <w:lang w:val="en-US" w:eastAsia="zh-CN"/>
              </w:rPr>
              <w:t>1</w:t>
            </w:r>
            <w:r>
              <w:rPr>
                <w:rFonts w:hint="default" w:ascii="Times New Roman" w:hAnsi="Times New Roman" w:eastAsia="黑体" w:cs="Times New Roman"/>
                <w:b/>
                <w:bCs/>
                <w:color w:val="auto"/>
                <w:sz w:val="24"/>
                <w:szCs w:val="24"/>
                <w:vertAlign w:val="baseline"/>
                <w:lang w:val="en-US" w:eastAsia="zh-CN"/>
              </w:rPr>
              <w:t>：企业培育工程重点任务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left"/>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vertAlign w:val="baseline"/>
                <w:lang w:val="en-US" w:eastAsia="zh-CN"/>
              </w:rPr>
              <w:t>壮大服务业市场主体，持续帮扶小微企业和个体工商户、培育做强具有市场竞争力的骨干企业，到2025年，全市规上服务业企业超过300家，限上商贸流通企业达到1300家左右，“专精特新”企业2家以上，在服务业重点行业领域组建商、协会或产业联盟。</w:t>
            </w:r>
          </w:p>
        </w:tc>
      </w:tr>
    </w:tbl>
    <w:p>
      <w:pPr>
        <w:pageBreakBefore w:val="0"/>
        <w:kinsoku/>
        <w:wordWrap/>
        <w:overflowPunct/>
        <w:topLinePunct w:val="0"/>
        <w:bidi w:val="0"/>
        <w:adjustRightInd/>
        <w:snapToGrid/>
        <w:spacing w:line="600" w:lineRule="exact"/>
        <w:textAlignment w:val="auto"/>
        <w:rPr>
          <w:rFonts w:hint="default" w:ascii="Times New Roman" w:hAnsi="Times New Roman" w:cs="Times New Roman"/>
          <w:color w:val="auto"/>
          <w:lang w:val="en-US" w:eastAsia="zh-CN"/>
        </w:rPr>
      </w:pP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38" w:name="_Toc795236344"/>
      <w:r>
        <w:rPr>
          <w:rFonts w:hint="default" w:ascii="Times New Roman" w:hAnsi="Times New Roman" w:eastAsia="方正楷体_GBK" w:cs="Times New Roman"/>
          <w:color w:val="auto"/>
          <w:lang w:val="en-US" w:eastAsia="zh-CN"/>
        </w:rPr>
        <w:t>（八）消费扩容工程</w:t>
      </w:r>
      <w:bookmarkEnd w:id="3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600" w:lineRule="exact"/>
        <w:ind w:left="0" w:right="0" w:firstLine="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以满足人民日益增长的美好生活需要为导向，推动消费向高品质、多样化、个性化升级，加大消费供给能力建设，培育做大消费市场，加快融入以国内大循环为主体、国内国际双循环相互促进的新发展格局。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600" w:lineRule="exact"/>
        <w:ind w:left="0" w:right="0" w:firstLine="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lang w:val="en-US" w:eastAsia="zh-CN"/>
        </w:rPr>
        <w:t>推进消费提质扩容。</w:t>
      </w:r>
      <w:r>
        <w:rPr>
          <w:rFonts w:hint="default" w:ascii="Times New Roman" w:hAnsi="Times New Roman" w:eastAsia="仿宋_GB2312" w:cs="Times New Roman"/>
          <w:color w:val="auto"/>
          <w:lang w:val="en-US" w:eastAsia="zh-CN"/>
        </w:rPr>
        <w:t>激发文化旅游消费潜力，举办文化旅游惠民消费季、消费月等活动，探索开发数字文旅消费体验产品。推进文化旅游、体育休闲等消费模式提质升级。放宽服务消费领域市场准入，支持社会力量提供多层次多样化医疗健康服务，全面放开养老服务市场，促进健康养老家政消费。积极培育家政托育消费，开展家政服务标准化及多种形式婴幼儿照顾服务试点示范建设。高标准建设城东新区、宿马园区、高新区、符离片区、经开区等多个新兴商圈。</w:t>
      </w:r>
      <w:r>
        <w:rPr>
          <w:rFonts w:hint="default" w:ascii="Times New Roman" w:hAnsi="Times New Roman" w:cs="Times New Roman"/>
          <w:color w:val="auto"/>
          <w:lang w:val="en-US" w:eastAsia="zh-CN"/>
        </w:rPr>
        <w:t>支持各地积极引入品牌首店、旗舰店、体验店。</w:t>
      </w:r>
      <w:r>
        <w:rPr>
          <w:rFonts w:hint="default" w:ascii="Times New Roman" w:hAnsi="Times New Roman" w:eastAsia="仿宋_GB2312" w:cs="Times New Roman"/>
          <w:color w:val="auto"/>
          <w:lang w:val="en-US" w:eastAsia="zh-CN"/>
        </w:rPr>
        <w:t>支持埇桥</w:t>
      </w:r>
      <w:r>
        <w:rPr>
          <w:rFonts w:hint="default" w:ascii="Times New Roman" w:hAnsi="Times New Roman" w:cs="Times New Roman"/>
          <w:color w:val="auto"/>
          <w:lang w:val="en-US" w:eastAsia="zh-CN"/>
        </w:rPr>
        <w:t>区</w:t>
      </w:r>
      <w:r>
        <w:rPr>
          <w:rFonts w:hint="default" w:ascii="Times New Roman" w:hAnsi="Times New Roman" w:eastAsia="仿宋_GB2312" w:cs="Times New Roman"/>
          <w:color w:val="auto"/>
          <w:lang w:val="en-US" w:eastAsia="zh-CN"/>
        </w:rPr>
        <w:t>创建区域消费中心</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持续打响消费促进活动品牌，每季度举办一场全市性的主题促消费活动。积极参与安徽省网商大会、好网货大赛、“双品网购节”等活动。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600" w:lineRule="exact"/>
        <w:ind w:left="0" w:right="0" w:firstLine="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b/>
          <w:bCs/>
          <w:color w:val="auto"/>
          <w:lang w:val="en-US" w:eastAsia="zh-CN"/>
        </w:rPr>
        <w:t>培育扩大新型消费</w:t>
      </w:r>
      <w:r>
        <w:rPr>
          <w:rFonts w:hint="default" w:ascii="Times New Roman" w:hAnsi="Times New Roman" w:cs="Times New Roman"/>
          <w:color w:val="auto"/>
          <w:lang w:val="en-US" w:eastAsia="zh-CN"/>
        </w:rPr>
        <w:t>。建立健全“互联网+服务”，加快社会服务在线对接、线上线下深度融合，创建省级线上经济创新发展试验区。</w:t>
      </w:r>
      <w:r>
        <w:rPr>
          <w:rFonts w:hint="default" w:ascii="Times New Roman" w:hAnsi="Times New Roman" w:cs="Times New Roman"/>
          <w:b w:val="0"/>
          <w:bCs/>
          <w:color w:val="auto"/>
          <w:lang w:val="en-US" w:eastAsia="zh-CN"/>
        </w:rPr>
        <w:t>坚持房住不炒，保障刚性住房需求，满足合理的改善性需求，大力发展住房租赁市场。加快新能源汽车推广应用，加快公共领域新能源车辆使用比例，推进充电桩、换电站、综合能源服务中心等设施建设。开展新能源汽车、智能家电、绿色建材下乡行动。加快5G网络、物联网、AR/VR等新型基础设施建设，发展云旅游、云娱乐、无接触式配送等新消费形态</w:t>
      </w:r>
      <w:r>
        <w:rPr>
          <w:rFonts w:hint="default" w:ascii="Times New Roman" w:hAnsi="Times New Roman" w:cs="Times New Roman"/>
          <w:color w:val="auto"/>
          <w:lang w:val="en-US" w:eastAsia="zh-CN"/>
        </w:rPr>
        <w:t>。推动农村流通降本增效，加快农村吃穿用住行等一般性消费提质扩容，鼓励消费新业态、新模式向农村市场拓展。积极营造周末消费新场景，支持开展周末文旅消费优惠、周末交通便民服务、公共消费服务空间周末延时开放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adjustRightInd/>
        <w:snapToGrid/>
        <w:spacing w:before="0" w:beforeAutospacing="0" w:after="0" w:afterAutospacing="0" w:line="600" w:lineRule="exact"/>
        <w:ind w:left="0" w:right="0" w:firstLine="0"/>
        <w:jc w:val="left"/>
        <w:textAlignment w:val="auto"/>
        <w:rPr>
          <w:rFonts w:hint="default" w:ascii="Times New Roman" w:hAnsi="Times New Roman" w:cs="Times New Roman"/>
          <w:color w:val="auto"/>
          <w:lang w:val="en" w:eastAsia="zh-CN"/>
        </w:rPr>
      </w:pPr>
      <w:r>
        <w:rPr>
          <w:rFonts w:hint="default" w:ascii="Times New Roman" w:hAnsi="Times New Roman" w:eastAsia="仿宋_GB2312" w:cs="Times New Roman"/>
          <w:b/>
          <w:bCs/>
          <w:color w:val="auto"/>
          <w:lang w:val="en-US" w:eastAsia="zh-CN"/>
        </w:rPr>
        <w:t>推动消费双向提速</w:t>
      </w:r>
      <w:r>
        <w:rPr>
          <w:rFonts w:hint="default" w:ascii="Times New Roman" w:hAnsi="Times New Roman" w:cs="Times New Roman"/>
          <w:color w:val="auto"/>
          <w:lang w:val="en-US" w:eastAsia="zh-CN"/>
        </w:rPr>
        <w:t>。支持互联网平台企业向线下延伸拓展，加快推广农产品“生鲜电商+冷链宅配”“中央厨房+食材冷链配送”等服务新模式。提升“互联网+”普惠金融水平，支持银联会同各银行、支付机构对餐饮、零售、交通、文旅等生活服务类商户开展联合营销等活动。组织开展形式多样的网络促销活动，促进品牌消费、品质消费。支持在市县主城区和开发区打造一批高品质夜间消费街区（夜间经济集聚区）、夜间文旅消费集聚区、深夜食堂、高品质夜市以及社区型居民夜间消费节点，发展夜间演艺、文创集市等夜间经济新业态，积极引进一流创意团队策划特色文化演出，培育夜场灯光秀、24小时书店等网红打卡点。到2025年，力争全市打造2-3个以上高品质夜间消费街区和品质夜市。</w:t>
      </w:r>
    </w:p>
    <w:tbl>
      <w:tblPr>
        <w:tblStyle w:val="22"/>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pageBreakBefore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cs="Times New Roman"/>
                <w:color w:val="auto"/>
                <w:vertAlign w:val="baseline"/>
                <w:lang w:val="en-US" w:eastAsia="zh-CN"/>
              </w:rPr>
            </w:pPr>
            <w:r>
              <w:rPr>
                <w:rFonts w:hint="default" w:ascii="Times New Roman" w:hAnsi="Times New Roman" w:eastAsia="黑体" w:cs="Times New Roman"/>
                <w:b/>
                <w:bCs/>
                <w:color w:val="auto"/>
                <w:sz w:val="24"/>
                <w:szCs w:val="24"/>
                <w:vertAlign w:val="baseline"/>
                <w:lang w:val="en-US" w:eastAsia="zh-CN"/>
              </w:rPr>
              <w:t>专栏1</w:t>
            </w:r>
            <w:r>
              <w:rPr>
                <w:rFonts w:hint="eastAsia" w:ascii="Times New Roman" w:hAnsi="Times New Roman" w:eastAsia="黑体" w:cs="Times New Roman"/>
                <w:b/>
                <w:bCs/>
                <w:color w:val="auto"/>
                <w:sz w:val="24"/>
                <w:szCs w:val="24"/>
                <w:vertAlign w:val="baseline"/>
                <w:lang w:val="en-US" w:eastAsia="zh-CN"/>
              </w:rPr>
              <w:t>2</w:t>
            </w:r>
            <w:r>
              <w:rPr>
                <w:rFonts w:hint="default" w:ascii="Times New Roman" w:hAnsi="Times New Roman" w:eastAsia="黑体" w:cs="Times New Roman"/>
                <w:b/>
                <w:bCs/>
                <w:color w:val="auto"/>
                <w:sz w:val="24"/>
                <w:szCs w:val="24"/>
                <w:vertAlign w:val="baseline"/>
                <w:lang w:val="en-US" w:eastAsia="zh-CN"/>
              </w:rPr>
              <w:t>：消费扩容工程重点任务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6" w:type="dxa"/>
          </w:tcPr>
          <w:p>
            <w:pPr>
              <w:keepNext w:val="0"/>
              <w:keepLines w:val="0"/>
              <w:pageBreakBefore w:val="0"/>
              <w:widowControl/>
              <w:suppressLineNumbers w:val="0"/>
              <w:kinsoku/>
              <w:wordWrap/>
              <w:overflowPunct/>
              <w:topLinePunct w:val="0"/>
              <w:autoSpaceDE w:val="0"/>
              <w:autoSpaceDN w:val="0"/>
              <w:bidi w:val="0"/>
              <w:adjustRightInd/>
              <w:snapToGrid/>
              <w:spacing w:line="420" w:lineRule="exact"/>
              <w:jc w:val="both"/>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vertAlign w:val="baseline"/>
                <w:lang w:val="en-US" w:eastAsia="zh-CN"/>
              </w:rPr>
              <w:t>建设区域消费中心，培育新型消费示范城市。加快推进成熟商圈提档升级，鼓励有条件的街区加快数字化改造，全面提升街区管理服务智能化水平，发展“智慧街区”“智慧商圈”，提供全方位数字生活新服务。建设一批新型文旅商业消费聚集区。大力培育省级特色商业街区。推动便利店连锁化、品牌化发展，支持连锁便利店到农村、社区布点，建设农副产品平价商店。支持举办具有农村特色的“购物节”“节庆集市”等促消费活动。发展休闲农业和乡村旅游，争创省级旅游名镇、名村，打造休闲旅游示范点。促进线上线下消费融合发展，创建省级线上经济创新发展试验区。</w:t>
            </w:r>
          </w:p>
        </w:tc>
      </w:tr>
    </w:tbl>
    <w:p>
      <w:pPr>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br w:type="page"/>
      </w:r>
    </w:p>
    <w:p>
      <w:pPr>
        <w:pStyle w:val="3"/>
        <w:pageBreakBefore w:val="0"/>
        <w:kinsoku/>
        <w:wordWrap/>
        <w:overflowPunct/>
        <w:topLinePunct w:val="0"/>
        <w:autoSpaceDE w:val="0"/>
        <w:autoSpaceDN w:val="0"/>
        <w:bidi w:val="0"/>
        <w:adjustRightInd/>
        <w:snapToGrid/>
        <w:spacing w:before="312" w:after="312" w:line="600" w:lineRule="exact"/>
        <w:textAlignment w:val="auto"/>
        <w:rPr>
          <w:rFonts w:hint="default" w:ascii="Times New Roman" w:hAnsi="Times New Roman" w:cs="Times New Roman"/>
          <w:color w:val="auto"/>
          <w:lang w:val="en-US"/>
        </w:rPr>
      </w:pPr>
      <w:bookmarkStart w:id="39" w:name="_Toc1384525285"/>
      <w:r>
        <w:rPr>
          <w:rFonts w:hint="default" w:ascii="Times New Roman" w:hAnsi="Times New Roman" w:cs="Times New Roman"/>
          <w:color w:val="auto"/>
          <w:lang w:eastAsia="zh-CN"/>
        </w:rPr>
        <w:t>六、组织</w:t>
      </w:r>
      <w:r>
        <w:rPr>
          <w:rFonts w:hint="default" w:ascii="Times New Roman" w:hAnsi="Times New Roman" w:cs="Times New Roman"/>
          <w:color w:val="auto"/>
          <w:lang w:val="en-US"/>
        </w:rPr>
        <w:t>保障</w:t>
      </w:r>
      <w:bookmarkEnd w:id="39"/>
    </w:p>
    <w:p>
      <w:pPr>
        <w:pageBreakBefore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color w:val="auto"/>
          <w:lang w:val="en-US"/>
        </w:rPr>
        <w:t>着力加强组织领导，优化营商环境</w:t>
      </w:r>
      <w:r>
        <w:rPr>
          <w:rFonts w:hint="default" w:ascii="Times New Roman" w:hAnsi="Times New Roman" w:cs="Times New Roman"/>
          <w:color w:val="auto"/>
        </w:rPr>
        <w:t>，降低运营成本</w:t>
      </w:r>
      <w:r>
        <w:rPr>
          <w:rFonts w:hint="default" w:ascii="Times New Roman" w:hAnsi="Times New Roman" w:cs="Times New Roman"/>
          <w:color w:val="auto"/>
          <w:lang w:val="en-US"/>
        </w:rPr>
        <w:t>，</w:t>
      </w:r>
      <w:r>
        <w:rPr>
          <w:rFonts w:hint="default" w:ascii="Times New Roman" w:hAnsi="Times New Roman" w:cs="Times New Roman"/>
          <w:color w:val="auto"/>
        </w:rPr>
        <w:t>提升要素保障，</w:t>
      </w:r>
      <w:r>
        <w:rPr>
          <w:rFonts w:hint="default" w:ascii="Times New Roman" w:hAnsi="Times New Roman" w:cs="Times New Roman"/>
          <w:color w:val="auto"/>
          <w:lang w:val="en-US"/>
        </w:rPr>
        <w:t>营造有利于服务业发展的良好环境，确保规划任务和目标顺利完成。</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rPr>
      </w:pPr>
      <w:bookmarkStart w:id="40" w:name="_bookmark27"/>
      <w:bookmarkEnd w:id="40"/>
      <w:bookmarkStart w:id="41" w:name="第一节__创新政府管理服务"/>
      <w:bookmarkEnd w:id="41"/>
      <w:bookmarkStart w:id="42" w:name="_Toc653501357"/>
      <w:r>
        <w:rPr>
          <w:rFonts w:hint="default" w:ascii="Times New Roman" w:hAnsi="Times New Roman" w:eastAsia="方正楷体_GBK" w:cs="Times New Roman"/>
          <w:color w:val="auto"/>
          <w:lang w:val="en-US" w:eastAsia="zh-CN"/>
        </w:rPr>
        <w:t>（一）</w:t>
      </w:r>
      <w:r>
        <w:rPr>
          <w:rFonts w:hint="default" w:ascii="Times New Roman" w:hAnsi="Times New Roman" w:eastAsia="方正楷体_GBK" w:cs="Times New Roman"/>
          <w:color w:val="auto"/>
          <w:lang w:val="en-US"/>
        </w:rPr>
        <w:t>加强组织领导</w:t>
      </w:r>
      <w:bookmarkEnd w:id="42"/>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eastAsia="zh-CN"/>
        </w:rPr>
        <w:t>强化</w:t>
      </w:r>
      <w:r>
        <w:rPr>
          <w:rFonts w:hint="default" w:ascii="Times New Roman" w:hAnsi="Times New Roman" w:cs="Times New Roman"/>
          <w:b/>
          <w:bCs/>
          <w:color w:val="auto"/>
          <w:lang w:val="en-US"/>
        </w:rPr>
        <w:t>党建引领</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充分发挥党建引领作用，不断完善党建引领服务业发展的体制机制，把党和政府对服务业的政策和要求落到实处，使基层党建贯穿推动服务业发展的全过程。发挥基层党组织的战斗堡垒和党员先锋模范作用，激励引领党员干部在推动产业转型升级、加快</w:t>
      </w:r>
      <w:r>
        <w:rPr>
          <w:rFonts w:hint="default" w:ascii="Times New Roman" w:hAnsi="Times New Roman" w:cs="Times New Roman"/>
          <w:color w:val="auto"/>
          <w:lang w:val="en-US" w:eastAsia="zh-CN"/>
        </w:rPr>
        <w:t>发展</w:t>
      </w:r>
      <w:r>
        <w:rPr>
          <w:rFonts w:hint="default" w:ascii="Times New Roman" w:hAnsi="Times New Roman" w:cs="Times New Roman"/>
          <w:color w:val="auto"/>
          <w:lang w:val="en-US"/>
        </w:rPr>
        <w:t>服务业的主战场上勇挑重担、加压奋进，在一线实干中争先创优、建功立业。</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lang w:val="en-US" w:eastAsia="zh-CN"/>
        </w:rPr>
      </w:pPr>
      <w:r>
        <w:rPr>
          <w:rFonts w:hint="default" w:ascii="Times New Roman" w:hAnsi="Times New Roman" w:cs="Times New Roman"/>
          <w:b/>
          <w:bCs/>
          <w:color w:val="auto"/>
          <w:lang w:val="en-US"/>
        </w:rPr>
        <w:t>健全发展机制</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充分发挥宿州市服务业</w:t>
      </w:r>
      <w:r>
        <w:rPr>
          <w:rFonts w:hint="default" w:ascii="Times New Roman" w:hAnsi="Times New Roman" w:cs="Times New Roman"/>
          <w:color w:val="auto"/>
          <w:lang w:val="en-US" w:eastAsia="zh-CN"/>
        </w:rPr>
        <w:t>发展</w:t>
      </w:r>
      <w:r>
        <w:rPr>
          <w:rFonts w:hint="default" w:ascii="Times New Roman" w:hAnsi="Times New Roman" w:cs="Times New Roman"/>
          <w:color w:val="auto"/>
          <w:lang w:val="en-US"/>
        </w:rPr>
        <w:t>工作领导小组作用，建立完善服务业重点行业和重点工作协调推进联席会议制度，研究决定服务业发展重大事项，统筹指导和协调推进服务业发展跨区域、跨领域和跨部门重大问题。领导小组办公室具体负责重大事项推进工作，做好与省、市相关部门的沟通衔接。各县（区）政府和市直部门相应成立领导小组和推进机构，负责组织实施本区域、本部门服务业发展的相关工作。</w:t>
      </w:r>
      <w:r>
        <w:rPr>
          <w:rFonts w:hint="default" w:ascii="Times New Roman" w:hAnsi="Times New Roman" w:cs="Times New Roman"/>
          <w:color w:val="auto"/>
          <w:lang w:val="en-US" w:eastAsia="zh-CN"/>
        </w:rPr>
        <w:t>各县区政府要结合本规划和区域实际，制定促进本区域服务业发展的规划和实施方案。</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eastAsia="zh-CN"/>
        </w:rPr>
      </w:pPr>
      <w:r>
        <w:rPr>
          <w:rFonts w:hint="default" w:ascii="Times New Roman" w:hAnsi="Times New Roman" w:cs="Times New Roman"/>
          <w:b/>
          <w:bCs/>
          <w:color w:val="auto"/>
          <w:lang w:val="en-US"/>
        </w:rPr>
        <w:t>加大扶持力度</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促进服务业发展相关财税政策、金融政策、产业政策、用地政策、价格政策的协调统一。有效发挥政府引导作用，</w:t>
      </w:r>
      <w:r>
        <w:rPr>
          <w:rFonts w:hint="default" w:ascii="Times New Roman" w:hAnsi="Times New Roman" w:cs="Times New Roman"/>
          <w:color w:val="auto"/>
          <w:lang w:val="en-US" w:eastAsia="zh-CN"/>
        </w:rPr>
        <w:t>制定相关政策</w:t>
      </w:r>
      <w:r>
        <w:rPr>
          <w:rFonts w:hint="default" w:ascii="Times New Roman" w:hAnsi="Times New Roman" w:cs="Times New Roman"/>
          <w:color w:val="auto"/>
          <w:lang w:val="en-US"/>
        </w:rPr>
        <w:t>支持服务业</w:t>
      </w:r>
      <w:r>
        <w:rPr>
          <w:rFonts w:hint="default" w:ascii="Times New Roman" w:hAnsi="Times New Roman" w:cs="Times New Roman"/>
          <w:color w:val="auto"/>
          <w:highlight w:val="none"/>
          <w:lang w:val="en-US"/>
        </w:rPr>
        <w:t>新模式、新业态发展</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rPr>
        <w:t>加大政府购买服务力度，</w:t>
      </w:r>
      <w:r>
        <w:rPr>
          <w:rFonts w:hint="default" w:ascii="Times New Roman" w:hAnsi="Times New Roman" w:cs="Times New Roman"/>
          <w:color w:val="auto"/>
          <w:lang w:val="en-US" w:eastAsia="zh-CN"/>
        </w:rPr>
        <w:t>逐步</w:t>
      </w:r>
      <w:r>
        <w:rPr>
          <w:rFonts w:hint="default" w:ascii="Times New Roman" w:hAnsi="Times New Roman" w:cs="Times New Roman"/>
          <w:color w:val="auto"/>
          <w:highlight w:val="none"/>
          <w:lang w:val="en-US"/>
        </w:rPr>
        <w:t>政府</w:t>
      </w:r>
      <w:r>
        <w:rPr>
          <w:rFonts w:hint="default" w:ascii="Times New Roman" w:hAnsi="Times New Roman" w:cs="Times New Roman"/>
          <w:color w:val="auto"/>
          <w:lang w:val="en-US" w:eastAsia="zh-CN"/>
        </w:rPr>
        <w:t>扩大购买范围。</w:t>
      </w:r>
      <w:r>
        <w:rPr>
          <w:rFonts w:hint="default" w:ascii="Times New Roman" w:hAnsi="Times New Roman" w:cs="Times New Roman"/>
          <w:color w:val="auto"/>
          <w:highlight w:val="none"/>
          <w:lang w:val="en-US"/>
        </w:rPr>
        <w:t>各行</w:t>
      </w:r>
      <w:r>
        <w:rPr>
          <w:rFonts w:hint="default" w:ascii="Times New Roman" w:hAnsi="Times New Roman" w:cs="Times New Roman"/>
          <w:color w:val="auto"/>
          <w:lang w:val="en-US"/>
        </w:rPr>
        <w:t>业主管部门按照职责分工研究制定具体实施方案，细化政策措施，制定年度工作计划</w:t>
      </w:r>
      <w:r>
        <w:rPr>
          <w:rFonts w:hint="default" w:ascii="Times New Roman" w:hAnsi="Times New Roman" w:cs="Times New Roman"/>
          <w:color w:val="auto"/>
          <w:lang w:val="en-US" w:eastAsia="zh-CN"/>
        </w:rPr>
        <w:t>。</w:t>
      </w:r>
      <w:r>
        <w:rPr>
          <w:rFonts w:hint="default" w:ascii="Times New Roman" w:hAnsi="Times New Roman" w:cs="Times New Roman"/>
          <w:color w:val="auto"/>
          <w:lang w:val="en-US"/>
        </w:rPr>
        <w:t>各县（区）积极落实配套政策，推进各类服务业集聚区和重大项目建设</w:t>
      </w:r>
      <w:r>
        <w:rPr>
          <w:rFonts w:hint="default" w:ascii="Times New Roman" w:hAnsi="Times New Roman" w:cs="Times New Roman"/>
          <w:color w:val="auto"/>
          <w:lang w:val="en-US" w:eastAsia="zh-CN"/>
        </w:rPr>
        <w:t>。</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43" w:name="_bookmark29"/>
      <w:bookmarkEnd w:id="43"/>
      <w:bookmarkStart w:id="44" w:name="_bookmark28"/>
      <w:bookmarkEnd w:id="44"/>
      <w:bookmarkStart w:id="45" w:name="第二节_降低服务业运营成本"/>
      <w:bookmarkEnd w:id="45"/>
      <w:bookmarkStart w:id="46" w:name="第三节_维护市场公平竞争"/>
      <w:bookmarkEnd w:id="46"/>
      <w:bookmarkStart w:id="47" w:name="_Toc812667305"/>
      <w:r>
        <w:rPr>
          <w:rFonts w:hint="default" w:ascii="Times New Roman" w:hAnsi="Times New Roman" w:eastAsia="方正楷体_GBK" w:cs="Times New Roman"/>
          <w:color w:val="auto"/>
          <w:lang w:val="en-US" w:eastAsia="zh-CN"/>
        </w:rPr>
        <w:t>（二）优化营商环境</w:t>
      </w:r>
      <w:bookmarkEnd w:id="47"/>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降低准入门槛</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color w:val="auto"/>
          <w:lang w:val="en-US"/>
        </w:rPr>
        <w:t>研究制定服务业准入管理细则，鼓励社会资本以多种方式发展服务业，</w:t>
      </w:r>
      <w:r>
        <w:rPr>
          <w:rFonts w:hint="default" w:ascii="Times New Roman" w:hAnsi="Times New Roman" w:eastAsia="仿宋_GB2312" w:cs="Times New Roman"/>
          <w:color w:val="auto"/>
          <w:lang w:val="en-US" w:eastAsia="zh-CN"/>
        </w:rPr>
        <w:t>严格按照国家《市场准入负面清单》要求，</w:t>
      </w:r>
      <w:r>
        <w:rPr>
          <w:rFonts w:hint="default" w:ascii="Times New Roman" w:hAnsi="Times New Roman" w:eastAsia="仿宋_GB2312" w:cs="Times New Roman"/>
          <w:color w:val="auto"/>
          <w:lang w:val="en-US"/>
        </w:rPr>
        <w:t>凡法律法规未明令禁入的服务业行业和领域，全部向外资和国内民间资本开放，实行内外资、本外地企业同等待遇，建立完善服务业企业遭遇市场准入不公问题直接投诉和协调处理机制。认真落实政府权力清单，梳理和简化行政审批环节和程序，优化流程，规范和改进行政审批行为，全面推行并联审批，提高审批时效。</w:t>
      </w:r>
    </w:p>
    <w:p>
      <w:pPr>
        <w:pStyle w:val="18"/>
        <w:pageBreakBefore w:val="0"/>
        <w:widowControl/>
        <w:kinsoku/>
        <w:wordWrap/>
        <w:overflowPunct/>
        <w:topLinePunct w:val="0"/>
        <w:autoSpaceDE w:val="0"/>
        <w:autoSpaceDN w:val="0"/>
        <w:bidi w:val="0"/>
        <w:adjustRightInd/>
        <w:snapToGrid/>
        <w:spacing w:line="600" w:lineRule="exact"/>
        <w:ind w:firstLine="640"/>
        <w:jc w:val="left"/>
        <w:textAlignment w:val="auto"/>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auto"/>
          <w:spacing w:val="0"/>
          <w:kern w:val="0"/>
          <w:sz w:val="32"/>
          <w:szCs w:val="32"/>
          <w:shd w:val="clear" w:fill="FFFFFF"/>
          <w:lang w:val="en-US" w:eastAsia="zh-CN" w:bidi="ar"/>
        </w:rPr>
        <w:t>深化对外开放。</w:t>
      </w:r>
      <w:r>
        <w:rPr>
          <w:rFonts w:hint="default" w:ascii="Times New Roman" w:hAnsi="Times New Roman" w:eastAsia="仿宋_GB2312" w:cs="Times New Roman"/>
          <w:i w:val="0"/>
          <w:iCs w:val="0"/>
          <w:caps w:val="0"/>
          <w:color w:val="auto"/>
          <w:spacing w:val="0"/>
          <w:kern w:val="0"/>
          <w:sz w:val="32"/>
          <w:szCs w:val="32"/>
          <w:shd w:val="clear" w:fill="FFFFFF"/>
          <w:lang w:val="en-US" w:eastAsia="zh-CN" w:bidi="ar"/>
        </w:rPr>
        <w:t>稳步扩大金融业开放，加快电信、教育、医疗、文化等领域开放进程。积极引进优质服务资源，增强服务业领域交流与合作，引导有条件的企业在全球范围配置资源、拓展市场，推动服务业和制造业协同走出去。大力发展服务贸易，巩固提升旅游、建筑、运输等传统服务贸易，拓展中医药等特色服务贸易，培育文化创意、数字服务、信息通讯、现代金融、广告服务等新兴服务贸易，扩大研发设计、节能环保、质量管理等高技术服务进出口。</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加强信用建设</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color w:val="auto"/>
          <w:lang w:val="en-US"/>
        </w:rPr>
        <w:t>强化市场主体信用记录建设，建立服务业诚信红黑名单，构建褒扬诚信、惩戒失信机制，加大对失信主体惩戒力度，营造“处处守信、事事方便”的诚信环境。建立服务业重点领域守信公开承诺制度，引导鼓励市场主体加强内部信用管理。建立重点服务领域从业人员守信联合激励制度，完善服务消费领域信用信息共享共用机制。</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加强知识产权保护</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color w:val="auto"/>
          <w:lang w:val="en-US"/>
        </w:rPr>
        <w:t>推进知识产权服务体系建设，构建知识产权经营体系和交易平台，推进知识产权信息开放利用。引导企业尊重、管理、保护知识产权，促进知识产权创造和运用。建立健全知识产权保护预警防范机制，加大新业态、新领域创新成果的知识产权保护力度，探索加大对侵权行为的判罚力度</w:t>
      </w:r>
      <w:r>
        <w:rPr>
          <w:rFonts w:hint="default" w:ascii="Times New Roman" w:hAnsi="Times New Roman" w:eastAsia="仿宋_GB2312" w:cs="Times New Roman"/>
          <w:color w:val="auto"/>
          <w:lang w:val="en-US" w:eastAsia="zh-CN"/>
        </w:rPr>
        <w:t>和</w:t>
      </w:r>
      <w:r>
        <w:rPr>
          <w:rFonts w:hint="default" w:ascii="Times New Roman" w:hAnsi="Times New Roman" w:eastAsia="仿宋_GB2312" w:cs="Times New Roman"/>
          <w:b w:val="0"/>
          <w:bCs w:val="0"/>
          <w:color w:val="auto"/>
          <w:lang w:eastAsia="zh-CN"/>
        </w:rPr>
        <w:t>侵权惩罚性赔偿制度</w:t>
      </w:r>
      <w:r>
        <w:rPr>
          <w:rFonts w:hint="default" w:ascii="Times New Roman" w:hAnsi="Times New Roman" w:eastAsia="仿宋_GB2312" w:cs="Times New Roman"/>
          <w:color w:val="auto"/>
          <w:lang w:val="en-US"/>
        </w:rPr>
        <w:t>。</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48" w:name="_Toc1614192800"/>
      <w:r>
        <w:rPr>
          <w:rFonts w:hint="default" w:ascii="Times New Roman" w:hAnsi="Times New Roman" w:eastAsia="方正楷体_GBK" w:cs="Times New Roman"/>
          <w:color w:val="auto"/>
          <w:lang w:val="en-US" w:eastAsia="zh-CN"/>
        </w:rPr>
        <w:t>（三）降低运营成本</w:t>
      </w:r>
      <w:bookmarkEnd w:id="48"/>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完善价格形成机制</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color w:val="auto"/>
          <w:lang w:val="en-US"/>
        </w:rPr>
        <w:t>建立完善主要由市场决定价格的服务业价格形成机制，消除服务业价格歧视，全面落实服务业用电、用水、用气与工业同价。放开竞争性领域和环节服务价格，加快推进电力、供水、天然气、交通运输等重点领域价格改革，对商场、超市、餐饮、宾馆等服务业企业，暂停执行峰谷分时电价。落实互联网服务业企业电价支持政策，相关标准根据省有关文件执行。</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lang w:val="en-US"/>
        </w:rPr>
      </w:pPr>
      <w:r>
        <w:rPr>
          <w:rFonts w:hint="default" w:ascii="Times New Roman" w:hAnsi="Times New Roman" w:eastAsia="仿宋_GB2312" w:cs="Times New Roman"/>
          <w:b/>
          <w:bCs/>
          <w:color w:val="auto"/>
          <w:lang w:val="en-US"/>
        </w:rPr>
        <w:t>降低行政事业性收费</w:t>
      </w:r>
      <w:r>
        <w:rPr>
          <w:rFonts w:hint="default" w:ascii="Times New Roman" w:hAnsi="Times New Roman" w:eastAsia="仿宋_GB2312" w:cs="Times New Roman"/>
          <w:b/>
          <w:bCs/>
          <w:color w:val="auto"/>
          <w:lang w:val="en-US" w:eastAsia="zh-CN"/>
        </w:rPr>
        <w:t>。</w:t>
      </w:r>
      <w:r>
        <w:rPr>
          <w:rFonts w:hint="default" w:ascii="Times New Roman" w:hAnsi="Times New Roman" w:eastAsia="仿宋_GB2312" w:cs="Times New Roman"/>
          <w:color w:val="auto"/>
          <w:lang w:val="en-US"/>
        </w:rPr>
        <w:t>进一步加大降费力度,切实减轻社会负担,促进服务业实体经济发展。严格执行国家、省设立的涉企行政事业性收费政策，建立健全涉企收费清单制度，凡清单之外的行政事业性收费、政府性基金、政府性保证金、行政审批前置服务项目收费一律不得向企业收取。</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eastAsia="仿宋_GB2312" w:cs="Times New Roman"/>
          <w:color w:val="auto"/>
          <w:highlight w:val="none"/>
          <w:lang w:val="en-US"/>
        </w:rPr>
      </w:pPr>
      <w:r>
        <w:rPr>
          <w:rFonts w:hint="default" w:ascii="Times New Roman" w:hAnsi="Times New Roman" w:eastAsia="仿宋_GB2312" w:cs="Times New Roman"/>
          <w:b/>
          <w:bCs/>
          <w:color w:val="auto"/>
          <w:highlight w:val="none"/>
          <w:lang w:val="en-US"/>
        </w:rPr>
        <w:t>认真落实税费减免</w:t>
      </w:r>
      <w:r>
        <w:rPr>
          <w:rFonts w:hint="default" w:ascii="Times New Roman" w:hAnsi="Times New Roman" w:eastAsia="仿宋_GB2312" w:cs="Times New Roman"/>
          <w:b/>
          <w:bCs/>
          <w:color w:val="auto"/>
          <w:highlight w:val="none"/>
          <w:lang w:val="en-US" w:eastAsia="zh-CN"/>
        </w:rPr>
        <w:t>。</w:t>
      </w:r>
      <w:r>
        <w:rPr>
          <w:rFonts w:hint="default" w:ascii="Times New Roman" w:hAnsi="Times New Roman" w:eastAsia="仿宋_GB2312" w:cs="Times New Roman"/>
          <w:color w:val="auto"/>
          <w:highlight w:val="none"/>
          <w:lang w:val="en-US"/>
        </w:rPr>
        <w:t>认真落实国家税费减免、价格并轨、融资租赁、土地供给、人才培养、知识产权等优惠政策，消除重复征税。对符合条件的科技园区与科技企业孵化器自用以及无偿或通过出租等方式提供给孵化企业使用的房产、土地，免征房产税和城镇土地使用税。加大高新技术企业认定力度，做好相关税收优惠政策落实。</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49" w:name="第四节_提升要素保障能力"/>
      <w:bookmarkEnd w:id="49"/>
      <w:bookmarkStart w:id="50" w:name="_bookmark30"/>
      <w:bookmarkEnd w:id="50"/>
      <w:bookmarkStart w:id="51" w:name="_Toc1042184510"/>
      <w:r>
        <w:rPr>
          <w:rFonts w:hint="default" w:ascii="Times New Roman" w:hAnsi="Times New Roman" w:eastAsia="方正楷体_GBK" w:cs="Times New Roman"/>
          <w:color w:val="auto"/>
          <w:lang w:val="en-US" w:eastAsia="zh-CN"/>
        </w:rPr>
        <w:t>（四）提升要素保障</w:t>
      </w:r>
      <w:bookmarkEnd w:id="51"/>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highlight w:val="none"/>
          <w:lang w:val="en-US"/>
        </w:rPr>
      </w:pPr>
      <w:r>
        <w:rPr>
          <w:rFonts w:hint="default" w:ascii="Times New Roman" w:hAnsi="Times New Roman" w:cs="Times New Roman"/>
          <w:b/>
          <w:bCs/>
          <w:color w:val="auto"/>
          <w:lang w:val="en-US"/>
        </w:rPr>
        <w:t>强化</w:t>
      </w:r>
      <w:r>
        <w:rPr>
          <w:rFonts w:hint="default" w:ascii="Times New Roman" w:hAnsi="Times New Roman" w:cs="Times New Roman"/>
          <w:b/>
          <w:bCs/>
          <w:color w:val="auto"/>
          <w:lang w:val="en-US" w:eastAsia="zh-CN"/>
        </w:rPr>
        <w:t>财政</w:t>
      </w:r>
      <w:r>
        <w:rPr>
          <w:rFonts w:hint="default" w:ascii="Times New Roman" w:hAnsi="Times New Roman" w:cs="Times New Roman"/>
          <w:b/>
          <w:bCs/>
          <w:color w:val="auto"/>
          <w:lang w:val="en-US"/>
        </w:rPr>
        <w:t>扶持力度</w:t>
      </w:r>
      <w:r>
        <w:rPr>
          <w:rFonts w:hint="default" w:ascii="Times New Roman" w:hAnsi="Times New Roman" w:cs="Times New Roman"/>
          <w:b/>
          <w:bCs/>
          <w:color w:val="auto"/>
          <w:lang w:val="en-US" w:eastAsia="zh-CN"/>
        </w:rPr>
        <w:t>。</w:t>
      </w:r>
      <w:r>
        <w:rPr>
          <w:rFonts w:hint="default" w:ascii="Times New Roman" w:hAnsi="Times New Roman" w:cs="Times New Roman"/>
          <w:color w:val="auto"/>
          <w:highlight w:val="none"/>
          <w:lang w:val="en-US"/>
        </w:rPr>
        <w:t>积极争取国家</w:t>
      </w:r>
      <w:r>
        <w:rPr>
          <w:rFonts w:hint="default" w:ascii="Times New Roman" w:hAnsi="Times New Roman" w:cs="Times New Roman"/>
          <w:color w:val="auto"/>
          <w:highlight w:val="none"/>
          <w:lang w:val="en-US" w:eastAsia="zh-CN"/>
        </w:rPr>
        <w:t>和省级</w:t>
      </w:r>
      <w:r>
        <w:rPr>
          <w:rFonts w:hint="default" w:ascii="Times New Roman" w:hAnsi="Times New Roman" w:cs="Times New Roman"/>
          <w:color w:val="auto"/>
          <w:highlight w:val="none"/>
          <w:lang w:val="en-US"/>
        </w:rPr>
        <w:t>服务业相关资金支持，加大地方财政投入。</w:t>
      </w:r>
      <w:r>
        <w:rPr>
          <w:rFonts w:hint="default" w:ascii="Times New Roman" w:hAnsi="Times New Roman" w:cs="Times New Roman"/>
          <w:color w:val="auto"/>
          <w:highlight w:val="none"/>
          <w:lang w:val="en-US" w:eastAsia="zh-CN"/>
        </w:rPr>
        <w:t>充分发挥服务业发展引导资金作用</w:t>
      </w:r>
      <w:r>
        <w:rPr>
          <w:rFonts w:hint="default" w:ascii="Times New Roman" w:hAnsi="Times New Roman" w:cs="Times New Roman"/>
          <w:color w:val="auto"/>
          <w:highlight w:val="none"/>
          <w:lang w:val="en-US"/>
        </w:rPr>
        <w:t>，探索财政补贴和市场化投资相结合的扶持方式，最大限度地发挥财政杠杆效应，撬动社会资本投资服务业重点领域。综合运用股权投资、贷款贴息和事后奖励等多种方式，支持服务业关键领域、薄弱环节发展和公共服务平台建设。</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rPr>
        <w:t>加大金融支持力度</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建立政银企合作对接机制，引导银行机构加大对服务业企业特别是中小企业的信贷支持，鼓励银行业金融机构发展适合服务业特点的融资模式。积极落实国家和省支持小微企业发展的贷款风险补偿政策。支持符合条件的服务业企业上市融资和发行债券。鼓励各类股权投资基金、信托投资机构、金融租赁机构、信用担保机构加大对服务业中小微企业的支持，引导社会资本投向服务业，促进科技、金融、产业融合发展。</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rPr>
        <w:t>健全土地保障政策</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加强对服务业项目节约集约用地的引导，在土地指标安排上对服务业用地给予适当倾斜，对投资强度大、建成后纳税额高、社会效益好的标志性项目优先安排建设用地。鼓励在不改变用地主体、不重新开发建设的前提下，利用工业厂房、仓储用房、传统商业街等存量地产兴办促进企业转型升级的自营服务业。加大存量建设用地盘活力度，鼓励通过改造低效用地发展现代服务业。</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rPr>
        <w:t>强化人才支撑</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加大人才引进和培养力度，制定服务业高层次人才引进计划，重点在科技服务、商务服务、现代物流、文化旅游、现代金融等领域，着力吸引国内外科研创新团队、优秀中青年人才。大力推动人力资源服务业快速发展，推进人力资源服务产业集聚发展。鼓励服务业企业开展人才培训，支持高校、职业院校服务于产业发展实际需要，增设服务业紧缺专业。完善和落实人才评价和激励措施，运用股权激励递延纳税等政策，鼓励采用股权激励等中长期激励方式引留人才，确保人才引得进、留得住、发挥好。</w:t>
      </w:r>
    </w:p>
    <w:p>
      <w:pPr>
        <w:pStyle w:val="4"/>
        <w:keepNext/>
        <w:keepLines/>
        <w:pageBreakBefore w:val="0"/>
        <w:widowControl w:val="0"/>
        <w:kinsoku/>
        <w:wordWrap/>
        <w:overflowPunct/>
        <w:topLinePunct w:val="0"/>
        <w:autoSpaceDE w:val="0"/>
        <w:autoSpaceDN w:val="0"/>
        <w:bidi w:val="0"/>
        <w:adjustRightInd/>
        <w:snapToGrid/>
        <w:spacing w:line="600" w:lineRule="exact"/>
        <w:ind w:firstLine="642" w:firstLineChars="200"/>
        <w:jc w:val="both"/>
        <w:textAlignment w:val="auto"/>
        <w:rPr>
          <w:rFonts w:hint="default" w:ascii="Times New Roman" w:hAnsi="Times New Roman" w:eastAsia="方正楷体_GBK" w:cs="Times New Roman"/>
          <w:color w:val="auto"/>
          <w:lang w:val="en-US" w:eastAsia="zh-CN"/>
        </w:rPr>
      </w:pPr>
      <w:bookmarkStart w:id="52" w:name="第五节_强力推进规划实施"/>
      <w:bookmarkEnd w:id="52"/>
      <w:bookmarkStart w:id="53" w:name="_bookmark31"/>
      <w:bookmarkEnd w:id="53"/>
      <w:bookmarkStart w:id="54" w:name="_Toc294574149"/>
      <w:r>
        <w:rPr>
          <w:rFonts w:hint="default" w:ascii="Times New Roman" w:hAnsi="Times New Roman" w:eastAsia="方正楷体_GBK" w:cs="Times New Roman"/>
          <w:color w:val="auto"/>
          <w:lang w:val="en-US" w:eastAsia="zh-CN"/>
        </w:rPr>
        <w:t>（五）加强管理监测</w:t>
      </w:r>
      <w:bookmarkEnd w:id="54"/>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eastAsia="zh-CN"/>
        </w:rPr>
        <w:t>强化实施管理。</w:t>
      </w:r>
      <w:r>
        <w:rPr>
          <w:rFonts w:hint="default" w:ascii="Times New Roman" w:hAnsi="Times New Roman" w:cs="Times New Roman"/>
          <w:color w:val="auto"/>
          <w:lang w:val="en-US"/>
        </w:rPr>
        <w:t>根据服务业发展总体规划和</w:t>
      </w:r>
      <w:r>
        <w:rPr>
          <w:rFonts w:hint="default" w:ascii="Times New Roman" w:hAnsi="Times New Roman" w:cs="Times New Roman"/>
          <w:color w:val="auto"/>
          <w:lang w:val="en-US" w:eastAsia="zh-CN"/>
        </w:rPr>
        <w:t>各部门</w:t>
      </w:r>
      <w:r>
        <w:rPr>
          <w:rFonts w:hint="default" w:ascii="Times New Roman" w:hAnsi="Times New Roman" w:cs="Times New Roman"/>
          <w:color w:val="auto"/>
          <w:lang w:val="en-US"/>
        </w:rPr>
        <w:t>行业专项规划，分解落实年度主要目标和重大事项，明确工作任务和实施主体责任。探索建立第三方考核评价制度，加强任务执行的跟踪检查，切实保障服务业规划的贯彻执行和具体落实。</w:t>
      </w:r>
    </w:p>
    <w:p>
      <w:pPr>
        <w:pageBreakBefore w:val="0"/>
        <w:kinsoku/>
        <w:wordWrap/>
        <w:overflowPunct/>
        <w:topLinePunct w:val="0"/>
        <w:autoSpaceDE w:val="0"/>
        <w:autoSpaceDN w:val="0"/>
        <w:bidi w:val="0"/>
        <w:adjustRightInd/>
        <w:snapToGrid/>
        <w:spacing w:line="600" w:lineRule="exact"/>
        <w:ind w:firstLine="643"/>
        <w:textAlignment w:val="auto"/>
        <w:rPr>
          <w:rFonts w:hint="default" w:ascii="Times New Roman" w:hAnsi="Times New Roman" w:cs="Times New Roman"/>
          <w:color w:val="auto"/>
          <w:lang w:val="en-US"/>
        </w:rPr>
      </w:pPr>
      <w:r>
        <w:rPr>
          <w:rFonts w:hint="default" w:ascii="Times New Roman" w:hAnsi="Times New Roman" w:cs="Times New Roman"/>
          <w:b/>
          <w:bCs/>
          <w:color w:val="auto"/>
          <w:lang w:val="en-US"/>
        </w:rPr>
        <w:t>加强统计监测</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加强服务业统计调查体系和制度建设，结合各行业实际情况，加强对服务业发展的动态监测和形势分析，全面提升服务业统计能力。建立服务业发展指标体系，定期评估主要指标和重点任务推进情况，评估推进效果并及时完善。加强各相关部门之间数据交流与共享。加强新兴服务业统计，准确及时反映新兴服务业发展状况。</w:t>
      </w:r>
    </w:p>
    <w:p>
      <w:pPr>
        <w:pageBreakBefore w:val="0"/>
        <w:kinsoku/>
        <w:wordWrap/>
        <w:overflowPunct/>
        <w:topLinePunct w:val="0"/>
        <w:autoSpaceDE w:val="0"/>
        <w:autoSpaceDN w:val="0"/>
        <w:bidi w:val="0"/>
        <w:adjustRightInd/>
        <w:snapToGrid/>
        <w:spacing w:line="600" w:lineRule="exact"/>
        <w:ind w:firstLine="640"/>
        <w:textAlignment w:val="auto"/>
        <w:rPr>
          <w:rFonts w:hint="default" w:ascii="Times New Roman" w:hAnsi="Times New Roman" w:cs="Times New Roman"/>
          <w:color w:val="auto"/>
        </w:rPr>
      </w:pPr>
      <w:r>
        <w:rPr>
          <w:rFonts w:hint="default" w:ascii="Times New Roman" w:hAnsi="Times New Roman" w:cs="Times New Roman"/>
          <w:b/>
          <w:bCs/>
          <w:color w:val="auto"/>
          <w:lang w:val="en-US"/>
        </w:rPr>
        <w:t>营造</w:t>
      </w:r>
      <w:r>
        <w:rPr>
          <w:rFonts w:hint="default" w:ascii="Times New Roman" w:hAnsi="Times New Roman" w:cs="Times New Roman"/>
          <w:b/>
          <w:bCs/>
          <w:color w:val="auto"/>
          <w:lang w:val="en-US" w:eastAsia="zh-CN"/>
        </w:rPr>
        <w:t>良好</w:t>
      </w:r>
      <w:r>
        <w:rPr>
          <w:rFonts w:hint="default" w:ascii="Times New Roman" w:hAnsi="Times New Roman" w:cs="Times New Roman"/>
          <w:b/>
          <w:bCs/>
          <w:color w:val="auto"/>
          <w:lang w:val="en-US"/>
        </w:rPr>
        <w:t>氛围</w:t>
      </w:r>
      <w:r>
        <w:rPr>
          <w:rFonts w:hint="default" w:ascii="Times New Roman" w:hAnsi="Times New Roman" w:cs="Times New Roman"/>
          <w:b/>
          <w:bCs/>
          <w:color w:val="auto"/>
          <w:lang w:val="en-US" w:eastAsia="zh-CN"/>
        </w:rPr>
        <w:t>。</w:t>
      </w:r>
      <w:r>
        <w:rPr>
          <w:rFonts w:hint="default" w:ascii="Times New Roman" w:hAnsi="Times New Roman" w:cs="Times New Roman"/>
          <w:color w:val="auto"/>
          <w:lang w:val="en-US"/>
        </w:rPr>
        <w:t>加大宣传力度，精心策划和举办一批与现代服务业、城市功能密切相关的重要主题事件、活动，充分发挥网络、电视、报纸及各类新媒体综合宣传的功效，大力宣传重点培育企业、重点集聚平台创新发展的典型案例和成功做法，加强对优秀人才创业先进事迹的报道宣传，提高社会各界对服务业发展的关注度和参与度，形成上下联动、条块结合、齐抓共管、社会参与的服务业发展格局。</w:t>
      </w:r>
    </w:p>
    <w:sectPr>
      <w:footerReference r:id="rId12" w:type="first"/>
      <w:footerReference r:id="rId11" w:type="default"/>
      <w:pgSz w:w="11910" w:h="16840"/>
      <w:pgMar w:top="1814" w:right="1474" w:bottom="1587" w:left="1474" w:header="851" w:footer="992" w:gutter="0"/>
      <w:cols w:space="0" w:num="1"/>
      <w:titlePg/>
      <w:docGrid w:type="lines" w:linePitch="62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32"/>
        <w:szCs w:val="32"/>
      </w:rPr>
      <w:id w:val="0"/>
      <w:docPartObj>
        <w:docPartGallery w:val="autotext"/>
      </w:docPartObj>
    </w:sdtPr>
    <w:sdtEndPr>
      <w:rPr>
        <w:rFonts w:asciiTheme="minorEastAsia" w:hAnsiTheme="minorEastAsia" w:eastAsiaTheme="minorEastAsia"/>
        <w:sz w:val="21"/>
        <w:szCs w:val="21"/>
      </w:rPr>
    </w:sdtEndPr>
    <w:sdtContent>
      <w:p>
        <w:pPr>
          <w:pStyle w:val="13"/>
          <w:ind w:firstLine="480"/>
          <w:jc w:val="center"/>
          <w:rPr>
            <w:rFonts w:asciiTheme="minorEastAsia" w:hAnsiTheme="minorEastAsia" w:eastAsiaTheme="minorEastAsia"/>
            <w:sz w:val="24"/>
            <w:szCs w:val="24"/>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p>
    </w:sdtContent>
  </w:sdt>
  <w:p>
    <w:pPr>
      <w:pStyle w:val="13"/>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3"/>
          <w:ind w:firstLine="360"/>
          <w:jc w:val="center"/>
        </w:pPr>
        <w:r>
          <w:fldChar w:fldCharType="begin"/>
        </w:r>
        <w:r>
          <w:instrText xml:space="preserve">PAGE   \* MERGEFORMAT</w:instrText>
        </w:r>
        <w:r>
          <w:fldChar w:fldCharType="separate"/>
        </w:r>
        <w:r>
          <w:t>42</w:t>
        </w:r>
        <w:r>
          <w:fldChar w:fldCharType="end"/>
        </w:r>
      </w:p>
    </w:sdtContent>
  </w:sdt>
  <w:p>
    <w:pPr>
      <w:pStyle w:val="1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32"/>
        <w:szCs w:val="32"/>
      </w:rPr>
      <w:id w:val="0"/>
      <w:docPartObj>
        <w:docPartGallery w:val="autotext"/>
      </w:docPartObj>
    </w:sdtPr>
    <w:sdtEndPr>
      <w:rPr>
        <w:rFonts w:asciiTheme="minorEastAsia" w:hAnsiTheme="minorEastAsia" w:eastAsiaTheme="minorEastAsia"/>
        <w:sz w:val="24"/>
        <w:szCs w:val="24"/>
      </w:rPr>
    </w:sdtEndPr>
    <w:sdtContent>
      <w:p>
        <w:pPr>
          <w:pStyle w:val="13"/>
          <w:keepNext w:val="0"/>
          <w:keepLines w:val="0"/>
          <w:pageBreakBefore w:val="0"/>
          <w:widowControl w:val="0"/>
          <w:kinsoku/>
          <w:wordWrap/>
          <w:overflowPunct/>
          <w:topLinePunct w:val="0"/>
          <w:autoSpaceDE w:val="0"/>
          <w:autoSpaceDN w:val="0"/>
          <w:bidi w:val="0"/>
          <w:adjustRightInd/>
          <w:snapToGrid w:val="0"/>
          <w:ind w:firstLine="0" w:firstLineChars="0"/>
          <w:jc w:val="center"/>
          <w:textAlignment w:val="auto"/>
          <w:rPr>
            <w:rFonts w:asciiTheme="minorEastAsia" w:hAnsiTheme="minorEastAsia" w:eastAsiaTheme="minorEastAsia"/>
            <w:sz w:val="24"/>
            <w:szCs w:val="24"/>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p>
    </w:sdtContent>
  </w:sdt>
  <w:p>
    <w:pPr>
      <w:pStyle w:val="13"/>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13"/>
          <w:ind w:firstLine="360"/>
          <w:jc w:val="cente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p>
    </w:sdtContent>
  </w:sdt>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HorizontalSpacing w:val="160"/>
  <w:drawingGridVerticalSpacing w:val="312"/>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E642E"/>
    <w:rsid w:val="00016B69"/>
    <w:rsid w:val="00047576"/>
    <w:rsid w:val="000537A6"/>
    <w:rsid w:val="0005543C"/>
    <w:rsid w:val="000A7208"/>
    <w:rsid w:val="000D2540"/>
    <w:rsid w:val="000D69DE"/>
    <w:rsid w:val="000E2856"/>
    <w:rsid w:val="000F2153"/>
    <w:rsid w:val="001300C4"/>
    <w:rsid w:val="001D0BCE"/>
    <w:rsid w:val="001E4598"/>
    <w:rsid w:val="001E73A8"/>
    <w:rsid w:val="00210ADC"/>
    <w:rsid w:val="00212E8A"/>
    <w:rsid w:val="00225E18"/>
    <w:rsid w:val="00232164"/>
    <w:rsid w:val="0024248B"/>
    <w:rsid w:val="00262279"/>
    <w:rsid w:val="002A5DD5"/>
    <w:rsid w:val="00330D7C"/>
    <w:rsid w:val="003A4C1C"/>
    <w:rsid w:val="00422381"/>
    <w:rsid w:val="00464874"/>
    <w:rsid w:val="004A7309"/>
    <w:rsid w:val="004B48BF"/>
    <w:rsid w:val="00523D21"/>
    <w:rsid w:val="0054100A"/>
    <w:rsid w:val="005421D9"/>
    <w:rsid w:val="00555E62"/>
    <w:rsid w:val="005B4437"/>
    <w:rsid w:val="005C4832"/>
    <w:rsid w:val="005E0346"/>
    <w:rsid w:val="006109AF"/>
    <w:rsid w:val="006B089B"/>
    <w:rsid w:val="006E7256"/>
    <w:rsid w:val="00757157"/>
    <w:rsid w:val="007620D8"/>
    <w:rsid w:val="007E2E00"/>
    <w:rsid w:val="008154D3"/>
    <w:rsid w:val="00881B20"/>
    <w:rsid w:val="00896088"/>
    <w:rsid w:val="008A65C0"/>
    <w:rsid w:val="008B46F5"/>
    <w:rsid w:val="008C12B6"/>
    <w:rsid w:val="00920DBC"/>
    <w:rsid w:val="009338B7"/>
    <w:rsid w:val="00950BC1"/>
    <w:rsid w:val="00AF60F2"/>
    <w:rsid w:val="00B4011E"/>
    <w:rsid w:val="00B5348A"/>
    <w:rsid w:val="00B72EB6"/>
    <w:rsid w:val="00B85F7E"/>
    <w:rsid w:val="00C35AF3"/>
    <w:rsid w:val="00C45093"/>
    <w:rsid w:val="00C55B3A"/>
    <w:rsid w:val="00C77D70"/>
    <w:rsid w:val="00C953B8"/>
    <w:rsid w:val="00C95EDF"/>
    <w:rsid w:val="00D26758"/>
    <w:rsid w:val="00D33F00"/>
    <w:rsid w:val="00D62BA3"/>
    <w:rsid w:val="00D64F86"/>
    <w:rsid w:val="00DA1E77"/>
    <w:rsid w:val="00DD3268"/>
    <w:rsid w:val="00DD53DA"/>
    <w:rsid w:val="00DD7540"/>
    <w:rsid w:val="00E12DC6"/>
    <w:rsid w:val="00E25023"/>
    <w:rsid w:val="00EF7DF0"/>
    <w:rsid w:val="00F12D72"/>
    <w:rsid w:val="00F86F33"/>
    <w:rsid w:val="00F87402"/>
    <w:rsid w:val="00FC1710"/>
    <w:rsid w:val="01176DE6"/>
    <w:rsid w:val="01200414"/>
    <w:rsid w:val="01245425"/>
    <w:rsid w:val="0128212B"/>
    <w:rsid w:val="01982865"/>
    <w:rsid w:val="01E45368"/>
    <w:rsid w:val="0228536C"/>
    <w:rsid w:val="026B6142"/>
    <w:rsid w:val="026E2189"/>
    <w:rsid w:val="028B678F"/>
    <w:rsid w:val="02B07B76"/>
    <w:rsid w:val="02ED2FCC"/>
    <w:rsid w:val="03181EE5"/>
    <w:rsid w:val="03225AB9"/>
    <w:rsid w:val="03331288"/>
    <w:rsid w:val="034A432D"/>
    <w:rsid w:val="03556BB4"/>
    <w:rsid w:val="035E16EC"/>
    <w:rsid w:val="04037F64"/>
    <w:rsid w:val="04192F0F"/>
    <w:rsid w:val="04431C08"/>
    <w:rsid w:val="04775E97"/>
    <w:rsid w:val="047D2AB2"/>
    <w:rsid w:val="04B05ACC"/>
    <w:rsid w:val="04C67137"/>
    <w:rsid w:val="04F80104"/>
    <w:rsid w:val="0528411F"/>
    <w:rsid w:val="05330BB2"/>
    <w:rsid w:val="05357319"/>
    <w:rsid w:val="055BA583"/>
    <w:rsid w:val="056254F8"/>
    <w:rsid w:val="058B1C8C"/>
    <w:rsid w:val="058D45E5"/>
    <w:rsid w:val="065E3267"/>
    <w:rsid w:val="06A029A3"/>
    <w:rsid w:val="06A72E33"/>
    <w:rsid w:val="06BE4005"/>
    <w:rsid w:val="0776470A"/>
    <w:rsid w:val="07F26CD0"/>
    <w:rsid w:val="07FF5719"/>
    <w:rsid w:val="081A190C"/>
    <w:rsid w:val="085C464A"/>
    <w:rsid w:val="08946EFC"/>
    <w:rsid w:val="08CA45D7"/>
    <w:rsid w:val="093E40BB"/>
    <w:rsid w:val="09924446"/>
    <w:rsid w:val="09A90F6F"/>
    <w:rsid w:val="09BC4847"/>
    <w:rsid w:val="09E56807"/>
    <w:rsid w:val="09EA7075"/>
    <w:rsid w:val="09FA7C84"/>
    <w:rsid w:val="0A182329"/>
    <w:rsid w:val="0A7E229A"/>
    <w:rsid w:val="0A9942B1"/>
    <w:rsid w:val="0AC20AA9"/>
    <w:rsid w:val="0B6753E7"/>
    <w:rsid w:val="0BA43D1D"/>
    <w:rsid w:val="0C310154"/>
    <w:rsid w:val="0CDD6E23"/>
    <w:rsid w:val="0CE45906"/>
    <w:rsid w:val="0D245B75"/>
    <w:rsid w:val="0DB628DD"/>
    <w:rsid w:val="0E2B0980"/>
    <w:rsid w:val="0E5524FA"/>
    <w:rsid w:val="0E752342"/>
    <w:rsid w:val="0E78249C"/>
    <w:rsid w:val="0E794CB3"/>
    <w:rsid w:val="0ED83506"/>
    <w:rsid w:val="0EDE5B1E"/>
    <w:rsid w:val="0F2D594E"/>
    <w:rsid w:val="0F3E5B29"/>
    <w:rsid w:val="0F587254"/>
    <w:rsid w:val="0F5D1F94"/>
    <w:rsid w:val="0F670CE7"/>
    <w:rsid w:val="0F74497B"/>
    <w:rsid w:val="0F9168B8"/>
    <w:rsid w:val="0FC128FF"/>
    <w:rsid w:val="0FF811B1"/>
    <w:rsid w:val="1005147D"/>
    <w:rsid w:val="10380B78"/>
    <w:rsid w:val="105F4001"/>
    <w:rsid w:val="106A1EB7"/>
    <w:rsid w:val="107D6F75"/>
    <w:rsid w:val="108A0C48"/>
    <w:rsid w:val="10A66184"/>
    <w:rsid w:val="10D44BAA"/>
    <w:rsid w:val="11166945"/>
    <w:rsid w:val="113013A4"/>
    <w:rsid w:val="11404725"/>
    <w:rsid w:val="11ED3AA2"/>
    <w:rsid w:val="11F754AD"/>
    <w:rsid w:val="12167A4A"/>
    <w:rsid w:val="123C6CB7"/>
    <w:rsid w:val="12402541"/>
    <w:rsid w:val="125E7C63"/>
    <w:rsid w:val="12AF6EB6"/>
    <w:rsid w:val="12D01C11"/>
    <w:rsid w:val="12D660C3"/>
    <w:rsid w:val="12E767D8"/>
    <w:rsid w:val="12FE0610"/>
    <w:rsid w:val="137B3894"/>
    <w:rsid w:val="138316EC"/>
    <w:rsid w:val="13923AE4"/>
    <w:rsid w:val="13C374F8"/>
    <w:rsid w:val="13CA0F84"/>
    <w:rsid w:val="13DD3A1B"/>
    <w:rsid w:val="13DF6184"/>
    <w:rsid w:val="13ED0A95"/>
    <w:rsid w:val="13F4566D"/>
    <w:rsid w:val="14526D9E"/>
    <w:rsid w:val="14685C45"/>
    <w:rsid w:val="14786BC1"/>
    <w:rsid w:val="14D05826"/>
    <w:rsid w:val="15004C74"/>
    <w:rsid w:val="15525AF8"/>
    <w:rsid w:val="158E575C"/>
    <w:rsid w:val="15A0093E"/>
    <w:rsid w:val="1600619E"/>
    <w:rsid w:val="160F1137"/>
    <w:rsid w:val="16133A23"/>
    <w:rsid w:val="16406DA5"/>
    <w:rsid w:val="16F318C1"/>
    <w:rsid w:val="173101BB"/>
    <w:rsid w:val="1766191F"/>
    <w:rsid w:val="177958B5"/>
    <w:rsid w:val="17816C9C"/>
    <w:rsid w:val="17B2001A"/>
    <w:rsid w:val="17D793B8"/>
    <w:rsid w:val="17FFFE91"/>
    <w:rsid w:val="180C4810"/>
    <w:rsid w:val="185C4076"/>
    <w:rsid w:val="18663095"/>
    <w:rsid w:val="1897258C"/>
    <w:rsid w:val="18A9684A"/>
    <w:rsid w:val="18BA74A8"/>
    <w:rsid w:val="18D152AA"/>
    <w:rsid w:val="19157031"/>
    <w:rsid w:val="19305011"/>
    <w:rsid w:val="194A44E1"/>
    <w:rsid w:val="19683BBD"/>
    <w:rsid w:val="198B4CF6"/>
    <w:rsid w:val="19A4341A"/>
    <w:rsid w:val="19A81C9A"/>
    <w:rsid w:val="19FB70C4"/>
    <w:rsid w:val="1A005573"/>
    <w:rsid w:val="1A4506CC"/>
    <w:rsid w:val="1A4F7849"/>
    <w:rsid w:val="1A7E1B0D"/>
    <w:rsid w:val="1AA16536"/>
    <w:rsid w:val="1ADF287E"/>
    <w:rsid w:val="1AF15EB6"/>
    <w:rsid w:val="1B36341E"/>
    <w:rsid w:val="1B4C010C"/>
    <w:rsid w:val="1B6340EF"/>
    <w:rsid w:val="1B7A67F3"/>
    <w:rsid w:val="1B8605DE"/>
    <w:rsid w:val="1B9A2BFA"/>
    <w:rsid w:val="1BEE642E"/>
    <w:rsid w:val="1C091924"/>
    <w:rsid w:val="1C0D51A3"/>
    <w:rsid w:val="1C1A7715"/>
    <w:rsid w:val="1C254846"/>
    <w:rsid w:val="1C311CAC"/>
    <w:rsid w:val="1C4B6297"/>
    <w:rsid w:val="1C5E4F2C"/>
    <w:rsid w:val="1C772659"/>
    <w:rsid w:val="1CA80EA7"/>
    <w:rsid w:val="1CAB30C2"/>
    <w:rsid w:val="1CB64C3E"/>
    <w:rsid w:val="1D520D4B"/>
    <w:rsid w:val="1D7D5180"/>
    <w:rsid w:val="1D89FEE0"/>
    <w:rsid w:val="1DAF7B87"/>
    <w:rsid w:val="1DCDF11D"/>
    <w:rsid w:val="1DD271C5"/>
    <w:rsid w:val="1E0205E6"/>
    <w:rsid w:val="1E361E90"/>
    <w:rsid w:val="1E4562A7"/>
    <w:rsid w:val="1E543F30"/>
    <w:rsid w:val="1E572FDB"/>
    <w:rsid w:val="1E7B7A30"/>
    <w:rsid w:val="1E9D5A85"/>
    <w:rsid w:val="1EA03B3C"/>
    <w:rsid w:val="1F3012D0"/>
    <w:rsid w:val="1F3E613A"/>
    <w:rsid w:val="1F5362D5"/>
    <w:rsid w:val="1F536B80"/>
    <w:rsid w:val="1F73CFA4"/>
    <w:rsid w:val="1F92091F"/>
    <w:rsid w:val="1FEB1A70"/>
    <w:rsid w:val="1FEDF410"/>
    <w:rsid w:val="1FEE79BF"/>
    <w:rsid w:val="1FEF4AD5"/>
    <w:rsid w:val="1FF2BDB1"/>
    <w:rsid w:val="1FF817F4"/>
    <w:rsid w:val="203164EC"/>
    <w:rsid w:val="205C2C79"/>
    <w:rsid w:val="20615F60"/>
    <w:rsid w:val="208A4789"/>
    <w:rsid w:val="20972688"/>
    <w:rsid w:val="209A0899"/>
    <w:rsid w:val="20F117D9"/>
    <w:rsid w:val="21631D77"/>
    <w:rsid w:val="21B2391A"/>
    <w:rsid w:val="21DC1E3E"/>
    <w:rsid w:val="22514CE6"/>
    <w:rsid w:val="22555389"/>
    <w:rsid w:val="228C0C53"/>
    <w:rsid w:val="22916036"/>
    <w:rsid w:val="22D90A6E"/>
    <w:rsid w:val="22DE54A8"/>
    <w:rsid w:val="230018D5"/>
    <w:rsid w:val="230F4F0D"/>
    <w:rsid w:val="23181D74"/>
    <w:rsid w:val="232E781C"/>
    <w:rsid w:val="233747B8"/>
    <w:rsid w:val="233D7890"/>
    <w:rsid w:val="23711430"/>
    <w:rsid w:val="23C077A5"/>
    <w:rsid w:val="2420044C"/>
    <w:rsid w:val="244465D4"/>
    <w:rsid w:val="248644F9"/>
    <w:rsid w:val="249B4DC7"/>
    <w:rsid w:val="24CB54CE"/>
    <w:rsid w:val="25027F39"/>
    <w:rsid w:val="25246A68"/>
    <w:rsid w:val="25CE2859"/>
    <w:rsid w:val="25CE5867"/>
    <w:rsid w:val="266274A3"/>
    <w:rsid w:val="26753EB9"/>
    <w:rsid w:val="268330D4"/>
    <w:rsid w:val="26932863"/>
    <w:rsid w:val="26A016ED"/>
    <w:rsid w:val="26BD5BB5"/>
    <w:rsid w:val="270D5F00"/>
    <w:rsid w:val="27A74AA8"/>
    <w:rsid w:val="27FC261A"/>
    <w:rsid w:val="27FF4F19"/>
    <w:rsid w:val="28063D32"/>
    <w:rsid w:val="28407228"/>
    <w:rsid w:val="28571E8D"/>
    <w:rsid w:val="285B4424"/>
    <w:rsid w:val="28D3573D"/>
    <w:rsid w:val="290519B2"/>
    <w:rsid w:val="29204F72"/>
    <w:rsid w:val="293915BE"/>
    <w:rsid w:val="295E0274"/>
    <w:rsid w:val="29673BAE"/>
    <w:rsid w:val="2967668F"/>
    <w:rsid w:val="29BF0B13"/>
    <w:rsid w:val="29C72E9A"/>
    <w:rsid w:val="29E2214C"/>
    <w:rsid w:val="2A6A25C1"/>
    <w:rsid w:val="2A872363"/>
    <w:rsid w:val="2AAC435C"/>
    <w:rsid w:val="2B4278EC"/>
    <w:rsid w:val="2B4A44E4"/>
    <w:rsid w:val="2B533219"/>
    <w:rsid w:val="2B7E53BE"/>
    <w:rsid w:val="2BA935F8"/>
    <w:rsid w:val="2BCE71D0"/>
    <w:rsid w:val="2BF20604"/>
    <w:rsid w:val="2C082C64"/>
    <w:rsid w:val="2C0F6365"/>
    <w:rsid w:val="2C1D67D7"/>
    <w:rsid w:val="2C8B0979"/>
    <w:rsid w:val="2CC34CCD"/>
    <w:rsid w:val="2CCE400E"/>
    <w:rsid w:val="2CFB723C"/>
    <w:rsid w:val="2D3D75B4"/>
    <w:rsid w:val="2D3E6497"/>
    <w:rsid w:val="2DEC771C"/>
    <w:rsid w:val="2DFF9CCF"/>
    <w:rsid w:val="2E204CD5"/>
    <w:rsid w:val="2E58276A"/>
    <w:rsid w:val="2EAD46B1"/>
    <w:rsid w:val="2EC65D51"/>
    <w:rsid w:val="2EE6EBD5"/>
    <w:rsid w:val="2EFE9994"/>
    <w:rsid w:val="2F0E2863"/>
    <w:rsid w:val="2F5D62C0"/>
    <w:rsid w:val="2F9E44D9"/>
    <w:rsid w:val="2FAFD17E"/>
    <w:rsid w:val="2FB31D4F"/>
    <w:rsid w:val="2FCBF7CF"/>
    <w:rsid w:val="2FEF2FB3"/>
    <w:rsid w:val="2FFE1570"/>
    <w:rsid w:val="30140EEA"/>
    <w:rsid w:val="30820484"/>
    <w:rsid w:val="30945D16"/>
    <w:rsid w:val="31167E9E"/>
    <w:rsid w:val="3139543F"/>
    <w:rsid w:val="318740CF"/>
    <w:rsid w:val="31C175A4"/>
    <w:rsid w:val="31EB0D82"/>
    <w:rsid w:val="321C4362"/>
    <w:rsid w:val="3222434E"/>
    <w:rsid w:val="322B12F0"/>
    <w:rsid w:val="32356D5F"/>
    <w:rsid w:val="331A5AA2"/>
    <w:rsid w:val="33366A3C"/>
    <w:rsid w:val="336E492C"/>
    <w:rsid w:val="337F3559"/>
    <w:rsid w:val="33A61402"/>
    <w:rsid w:val="33DC1E42"/>
    <w:rsid w:val="33F25204"/>
    <w:rsid w:val="340453A1"/>
    <w:rsid w:val="3428235C"/>
    <w:rsid w:val="34814810"/>
    <w:rsid w:val="351231B9"/>
    <w:rsid w:val="353C35F0"/>
    <w:rsid w:val="354E9BAE"/>
    <w:rsid w:val="35592BF5"/>
    <w:rsid w:val="3566634C"/>
    <w:rsid w:val="35A616D0"/>
    <w:rsid w:val="35F61712"/>
    <w:rsid w:val="363A467F"/>
    <w:rsid w:val="36BEB664"/>
    <w:rsid w:val="37125479"/>
    <w:rsid w:val="371E310D"/>
    <w:rsid w:val="374D38AB"/>
    <w:rsid w:val="377F519E"/>
    <w:rsid w:val="378F0C1D"/>
    <w:rsid w:val="37953671"/>
    <w:rsid w:val="37AE010F"/>
    <w:rsid w:val="37AF13BD"/>
    <w:rsid w:val="37CB682C"/>
    <w:rsid w:val="37CC1B73"/>
    <w:rsid w:val="37D10B41"/>
    <w:rsid w:val="381B2CC7"/>
    <w:rsid w:val="3843735F"/>
    <w:rsid w:val="38B4569E"/>
    <w:rsid w:val="38B81070"/>
    <w:rsid w:val="38BC2FC3"/>
    <w:rsid w:val="39046D1C"/>
    <w:rsid w:val="3910145B"/>
    <w:rsid w:val="391FEBD5"/>
    <w:rsid w:val="39300A9D"/>
    <w:rsid w:val="393A58F4"/>
    <w:rsid w:val="395D5EBF"/>
    <w:rsid w:val="39716B40"/>
    <w:rsid w:val="39866E1A"/>
    <w:rsid w:val="39870F00"/>
    <w:rsid w:val="39AF70BF"/>
    <w:rsid w:val="39FF76F6"/>
    <w:rsid w:val="3A186B39"/>
    <w:rsid w:val="3A2A6F9E"/>
    <w:rsid w:val="3A2B3A16"/>
    <w:rsid w:val="3A2B6461"/>
    <w:rsid w:val="3A310BC8"/>
    <w:rsid w:val="3A332000"/>
    <w:rsid w:val="3A410E90"/>
    <w:rsid w:val="3A525865"/>
    <w:rsid w:val="3AEE621E"/>
    <w:rsid w:val="3B0C0E93"/>
    <w:rsid w:val="3B67EF38"/>
    <w:rsid w:val="3BAFC441"/>
    <w:rsid w:val="3BE61712"/>
    <w:rsid w:val="3BE785C1"/>
    <w:rsid w:val="3BF1408C"/>
    <w:rsid w:val="3BFF277C"/>
    <w:rsid w:val="3C4E47F9"/>
    <w:rsid w:val="3CB034D3"/>
    <w:rsid w:val="3CB922DC"/>
    <w:rsid w:val="3CD84DC1"/>
    <w:rsid w:val="3CFD6022"/>
    <w:rsid w:val="3D4C78A3"/>
    <w:rsid w:val="3D4F266E"/>
    <w:rsid w:val="3D5343E7"/>
    <w:rsid w:val="3D7FD3BD"/>
    <w:rsid w:val="3D880128"/>
    <w:rsid w:val="3DA83722"/>
    <w:rsid w:val="3DAE5EC2"/>
    <w:rsid w:val="3DB41C5A"/>
    <w:rsid w:val="3DC453F0"/>
    <w:rsid w:val="3DCE7F7C"/>
    <w:rsid w:val="3DD016B8"/>
    <w:rsid w:val="3DE37C15"/>
    <w:rsid w:val="3DFC8047"/>
    <w:rsid w:val="3DFE290D"/>
    <w:rsid w:val="3DFF202B"/>
    <w:rsid w:val="3DFFFD5F"/>
    <w:rsid w:val="3EA54EED"/>
    <w:rsid w:val="3EAFE330"/>
    <w:rsid w:val="3EC94E9E"/>
    <w:rsid w:val="3ED450F0"/>
    <w:rsid w:val="3EFB3643"/>
    <w:rsid w:val="3F6A298C"/>
    <w:rsid w:val="3F7F0023"/>
    <w:rsid w:val="3F87907A"/>
    <w:rsid w:val="3FD73443"/>
    <w:rsid w:val="3FE33FD2"/>
    <w:rsid w:val="3FE7672E"/>
    <w:rsid w:val="3FEFDD9B"/>
    <w:rsid w:val="3FFB4CAD"/>
    <w:rsid w:val="3FFDB47F"/>
    <w:rsid w:val="403C1A0C"/>
    <w:rsid w:val="405C0354"/>
    <w:rsid w:val="4069510B"/>
    <w:rsid w:val="407F6AA1"/>
    <w:rsid w:val="412A7F34"/>
    <w:rsid w:val="414939C4"/>
    <w:rsid w:val="416975B3"/>
    <w:rsid w:val="417F7C98"/>
    <w:rsid w:val="41876C27"/>
    <w:rsid w:val="41E148EA"/>
    <w:rsid w:val="42347611"/>
    <w:rsid w:val="42790188"/>
    <w:rsid w:val="428D29C6"/>
    <w:rsid w:val="42DA7A35"/>
    <w:rsid w:val="430F6A80"/>
    <w:rsid w:val="433C3C4A"/>
    <w:rsid w:val="433F122A"/>
    <w:rsid w:val="4361553D"/>
    <w:rsid w:val="43693FA3"/>
    <w:rsid w:val="43ED6D24"/>
    <w:rsid w:val="442E3296"/>
    <w:rsid w:val="443E01A3"/>
    <w:rsid w:val="44637DC5"/>
    <w:rsid w:val="44F801D8"/>
    <w:rsid w:val="450D2D5B"/>
    <w:rsid w:val="451C553F"/>
    <w:rsid w:val="45206FDC"/>
    <w:rsid w:val="45401C2F"/>
    <w:rsid w:val="455F6911"/>
    <w:rsid w:val="456255B2"/>
    <w:rsid w:val="45DD7E2B"/>
    <w:rsid w:val="463747EC"/>
    <w:rsid w:val="46724362"/>
    <w:rsid w:val="46794519"/>
    <w:rsid w:val="468B01EA"/>
    <w:rsid w:val="46D2097B"/>
    <w:rsid w:val="46E46DDB"/>
    <w:rsid w:val="46EE316E"/>
    <w:rsid w:val="471B58C7"/>
    <w:rsid w:val="474A0FB5"/>
    <w:rsid w:val="47AC1815"/>
    <w:rsid w:val="47AD34E9"/>
    <w:rsid w:val="47BE7009"/>
    <w:rsid w:val="47ED3024"/>
    <w:rsid w:val="47F2B9AB"/>
    <w:rsid w:val="480B2995"/>
    <w:rsid w:val="48393960"/>
    <w:rsid w:val="484C7390"/>
    <w:rsid w:val="485F03C0"/>
    <w:rsid w:val="48A27512"/>
    <w:rsid w:val="48C2477F"/>
    <w:rsid w:val="48E24B4A"/>
    <w:rsid w:val="48F76697"/>
    <w:rsid w:val="49144CC8"/>
    <w:rsid w:val="49432F69"/>
    <w:rsid w:val="49AA3A9F"/>
    <w:rsid w:val="49B27A8E"/>
    <w:rsid w:val="49BE58A2"/>
    <w:rsid w:val="4A020CC2"/>
    <w:rsid w:val="4A1217E2"/>
    <w:rsid w:val="4A65147C"/>
    <w:rsid w:val="4A813727"/>
    <w:rsid w:val="4ADF5023"/>
    <w:rsid w:val="4AE9673B"/>
    <w:rsid w:val="4AEBE0A2"/>
    <w:rsid w:val="4B255DDF"/>
    <w:rsid w:val="4C137AE5"/>
    <w:rsid w:val="4C8D334C"/>
    <w:rsid w:val="4C941BE6"/>
    <w:rsid w:val="4CED0196"/>
    <w:rsid w:val="4CED13D8"/>
    <w:rsid w:val="4D49321F"/>
    <w:rsid w:val="4D5F1FC6"/>
    <w:rsid w:val="4D983E7F"/>
    <w:rsid w:val="4D9F8278"/>
    <w:rsid w:val="4DAA3B3A"/>
    <w:rsid w:val="4DAB0468"/>
    <w:rsid w:val="4DDD1733"/>
    <w:rsid w:val="4DE207FC"/>
    <w:rsid w:val="4DFF2767"/>
    <w:rsid w:val="4E3E7271"/>
    <w:rsid w:val="4E3E779A"/>
    <w:rsid w:val="4E4E01C4"/>
    <w:rsid w:val="4E7F1856"/>
    <w:rsid w:val="4EB8461D"/>
    <w:rsid w:val="4EBB4707"/>
    <w:rsid w:val="4EDD6D78"/>
    <w:rsid w:val="4EE43124"/>
    <w:rsid w:val="4F0B11D7"/>
    <w:rsid w:val="4F207B0E"/>
    <w:rsid w:val="4F942165"/>
    <w:rsid w:val="4FCD636B"/>
    <w:rsid w:val="4FEDD28F"/>
    <w:rsid w:val="4FF40821"/>
    <w:rsid w:val="4FFC720A"/>
    <w:rsid w:val="50510B5C"/>
    <w:rsid w:val="507309D6"/>
    <w:rsid w:val="50907388"/>
    <w:rsid w:val="50E626A5"/>
    <w:rsid w:val="50E7551B"/>
    <w:rsid w:val="50FB0A94"/>
    <w:rsid w:val="510429A8"/>
    <w:rsid w:val="516D6021"/>
    <w:rsid w:val="51920821"/>
    <w:rsid w:val="51F6DEB7"/>
    <w:rsid w:val="51F733C0"/>
    <w:rsid w:val="52822E65"/>
    <w:rsid w:val="529C01FE"/>
    <w:rsid w:val="52BD4C2A"/>
    <w:rsid w:val="532C6177"/>
    <w:rsid w:val="532D470D"/>
    <w:rsid w:val="53414202"/>
    <w:rsid w:val="538E7760"/>
    <w:rsid w:val="53FE59A6"/>
    <w:rsid w:val="53FF9121"/>
    <w:rsid w:val="541039AC"/>
    <w:rsid w:val="543D5DA2"/>
    <w:rsid w:val="545D6A0B"/>
    <w:rsid w:val="5589469B"/>
    <w:rsid w:val="560E2257"/>
    <w:rsid w:val="56506290"/>
    <w:rsid w:val="56730E3B"/>
    <w:rsid w:val="56955332"/>
    <w:rsid w:val="56A7188F"/>
    <w:rsid w:val="57151FB7"/>
    <w:rsid w:val="571BD846"/>
    <w:rsid w:val="579761F6"/>
    <w:rsid w:val="57E950D6"/>
    <w:rsid w:val="57F63C2F"/>
    <w:rsid w:val="583D5562"/>
    <w:rsid w:val="584F1C92"/>
    <w:rsid w:val="585416FF"/>
    <w:rsid w:val="588D4CEA"/>
    <w:rsid w:val="58A970CB"/>
    <w:rsid w:val="58B303D9"/>
    <w:rsid w:val="58DF557C"/>
    <w:rsid w:val="58E57310"/>
    <w:rsid w:val="58E67552"/>
    <w:rsid w:val="58FFF8FA"/>
    <w:rsid w:val="59461C3D"/>
    <w:rsid w:val="59933EE5"/>
    <w:rsid w:val="59BA6905"/>
    <w:rsid w:val="59C24CE6"/>
    <w:rsid w:val="5A263CE1"/>
    <w:rsid w:val="5A5B2217"/>
    <w:rsid w:val="5A614EBD"/>
    <w:rsid w:val="5A684E2A"/>
    <w:rsid w:val="5B1F31B0"/>
    <w:rsid w:val="5B307214"/>
    <w:rsid w:val="5B9664E6"/>
    <w:rsid w:val="5BCF3CAF"/>
    <w:rsid w:val="5BF6740E"/>
    <w:rsid w:val="5CA64D62"/>
    <w:rsid w:val="5CB85E51"/>
    <w:rsid w:val="5CFA9CC4"/>
    <w:rsid w:val="5D7873F0"/>
    <w:rsid w:val="5DB71400"/>
    <w:rsid w:val="5DBB3787"/>
    <w:rsid w:val="5DBFAD34"/>
    <w:rsid w:val="5DF36A0C"/>
    <w:rsid w:val="5E357422"/>
    <w:rsid w:val="5E50554D"/>
    <w:rsid w:val="5E57723B"/>
    <w:rsid w:val="5E5C56F9"/>
    <w:rsid w:val="5E6E21CC"/>
    <w:rsid w:val="5E8E8F76"/>
    <w:rsid w:val="5EAF712C"/>
    <w:rsid w:val="5EBFCF30"/>
    <w:rsid w:val="5EE59C53"/>
    <w:rsid w:val="5EFD3843"/>
    <w:rsid w:val="5F196E6A"/>
    <w:rsid w:val="5F1C6510"/>
    <w:rsid w:val="5F3665DE"/>
    <w:rsid w:val="5F593A88"/>
    <w:rsid w:val="5F5FC5AD"/>
    <w:rsid w:val="5F6247B9"/>
    <w:rsid w:val="5F734147"/>
    <w:rsid w:val="5F85661C"/>
    <w:rsid w:val="5FAF7339"/>
    <w:rsid w:val="5FBBB664"/>
    <w:rsid w:val="5FC3C722"/>
    <w:rsid w:val="5FDBF86D"/>
    <w:rsid w:val="5FDFCA26"/>
    <w:rsid w:val="5FE72BC7"/>
    <w:rsid w:val="5FE82282"/>
    <w:rsid w:val="5FED48C5"/>
    <w:rsid w:val="5FF7C4D4"/>
    <w:rsid w:val="5FFB7628"/>
    <w:rsid w:val="5FFD4261"/>
    <w:rsid w:val="5FFE8F12"/>
    <w:rsid w:val="60886BF6"/>
    <w:rsid w:val="60A57645"/>
    <w:rsid w:val="60D01691"/>
    <w:rsid w:val="61136FD4"/>
    <w:rsid w:val="61C32D56"/>
    <w:rsid w:val="620904E5"/>
    <w:rsid w:val="6242540A"/>
    <w:rsid w:val="62930C92"/>
    <w:rsid w:val="62CF1501"/>
    <w:rsid w:val="62F052DA"/>
    <w:rsid w:val="62F60568"/>
    <w:rsid w:val="631952C8"/>
    <w:rsid w:val="63852B60"/>
    <w:rsid w:val="63BD0429"/>
    <w:rsid w:val="63BF1A1F"/>
    <w:rsid w:val="63FC01FA"/>
    <w:rsid w:val="63FFED2B"/>
    <w:rsid w:val="64C96DCB"/>
    <w:rsid w:val="65013944"/>
    <w:rsid w:val="65187515"/>
    <w:rsid w:val="651C49A1"/>
    <w:rsid w:val="65554FE7"/>
    <w:rsid w:val="655F02AA"/>
    <w:rsid w:val="658377D5"/>
    <w:rsid w:val="65844D7F"/>
    <w:rsid w:val="664A6201"/>
    <w:rsid w:val="665CA29A"/>
    <w:rsid w:val="666867EB"/>
    <w:rsid w:val="667D5E8B"/>
    <w:rsid w:val="6687A28C"/>
    <w:rsid w:val="66F26EFD"/>
    <w:rsid w:val="674E9CC7"/>
    <w:rsid w:val="67751C66"/>
    <w:rsid w:val="678C3040"/>
    <w:rsid w:val="679E0775"/>
    <w:rsid w:val="67AB39B6"/>
    <w:rsid w:val="67BF2ED3"/>
    <w:rsid w:val="67C15B96"/>
    <w:rsid w:val="67FAB272"/>
    <w:rsid w:val="67FE723C"/>
    <w:rsid w:val="681978DA"/>
    <w:rsid w:val="6839627C"/>
    <w:rsid w:val="68835CD2"/>
    <w:rsid w:val="68CB42DE"/>
    <w:rsid w:val="68DD6604"/>
    <w:rsid w:val="68ED4D23"/>
    <w:rsid w:val="692247BA"/>
    <w:rsid w:val="69666D41"/>
    <w:rsid w:val="69BF3ED0"/>
    <w:rsid w:val="69E041EB"/>
    <w:rsid w:val="69E13C23"/>
    <w:rsid w:val="6A685F0A"/>
    <w:rsid w:val="6A6F1BF8"/>
    <w:rsid w:val="6AE36375"/>
    <w:rsid w:val="6AF04DE3"/>
    <w:rsid w:val="6AFF7C1D"/>
    <w:rsid w:val="6B5563A0"/>
    <w:rsid w:val="6B8F136A"/>
    <w:rsid w:val="6B9B3B63"/>
    <w:rsid w:val="6BB60143"/>
    <w:rsid w:val="6BFB1E54"/>
    <w:rsid w:val="6C3F9A48"/>
    <w:rsid w:val="6CBF46B8"/>
    <w:rsid w:val="6CDF226B"/>
    <w:rsid w:val="6CEFC487"/>
    <w:rsid w:val="6D0D7240"/>
    <w:rsid w:val="6D7B0A8A"/>
    <w:rsid w:val="6D7F007A"/>
    <w:rsid w:val="6DC22F29"/>
    <w:rsid w:val="6DFF6074"/>
    <w:rsid w:val="6E0B5962"/>
    <w:rsid w:val="6E301AEF"/>
    <w:rsid w:val="6E341EDD"/>
    <w:rsid w:val="6E93E4AA"/>
    <w:rsid w:val="6ECC74B0"/>
    <w:rsid w:val="6ED945B1"/>
    <w:rsid w:val="6EF70CDF"/>
    <w:rsid w:val="6F230100"/>
    <w:rsid w:val="6F336D90"/>
    <w:rsid w:val="6F3A6F42"/>
    <w:rsid w:val="6F672F20"/>
    <w:rsid w:val="6F7677D2"/>
    <w:rsid w:val="6F894C30"/>
    <w:rsid w:val="6F8A046F"/>
    <w:rsid w:val="6FA6146F"/>
    <w:rsid w:val="6FBBE87E"/>
    <w:rsid w:val="6FD8727F"/>
    <w:rsid w:val="6FDA7657"/>
    <w:rsid w:val="6FED28A8"/>
    <w:rsid w:val="6FF5B2F8"/>
    <w:rsid w:val="6FF7C688"/>
    <w:rsid w:val="6FFF10AF"/>
    <w:rsid w:val="6FFF424D"/>
    <w:rsid w:val="6FFFBB19"/>
    <w:rsid w:val="701074DC"/>
    <w:rsid w:val="70575F31"/>
    <w:rsid w:val="705B3C29"/>
    <w:rsid w:val="705C5040"/>
    <w:rsid w:val="705C7180"/>
    <w:rsid w:val="70BD0654"/>
    <w:rsid w:val="70C075CA"/>
    <w:rsid w:val="70C9685E"/>
    <w:rsid w:val="71055209"/>
    <w:rsid w:val="712E5D11"/>
    <w:rsid w:val="71685822"/>
    <w:rsid w:val="719D6D2C"/>
    <w:rsid w:val="72380F1D"/>
    <w:rsid w:val="725511E3"/>
    <w:rsid w:val="72633DB2"/>
    <w:rsid w:val="72943FE5"/>
    <w:rsid w:val="729A1E3D"/>
    <w:rsid w:val="72B3326A"/>
    <w:rsid w:val="72C06A0C"/>
    <w:rsid w:val="72D22163"/>
    <w:rsid w:val="733A6DFE"/>
    <w:rsid w:val="734F1142"/>
    <w:rsid w:val="7350351D"/>
    <w:rsid w:val="737E6676"/>
    <w:rsid w:val="73BBF9B1"/>
    <w:rsid w:val="73D2D0F2"/>
    <w:rsid w:val="73DBB7A6"/>
    <w:rsid w:val="73EA8313"/>
    <w:rsid w:val="7414135C"/>
    <w:rsid w:val="74464430"/>
    <w:rsid w:val="74691768"/>
    <w:rsid w:val="74BF9F5F"/>
    <w:rsid w:val="75581A9A"/>
    <w:rsid w:val="757508E1"/>
    <w:rsid w:val="758949E2"/>
    <w:rsid w:val="75C73125"/>
    <w:rsid w:val="75E57B36"/>
    <w:rsid w:val="75FA1FB7"/>
    <w:rsid w:val="75FD2BE9"/>
    <w:rsid w:val="75FFE99D"/>
    <w:rsid w:val="76161062"/>
    <w:rsid w:val="76191D1B"/>
    <w:rsid w:val="76534DB3"/>
    <w:rsid w:val="766BCDA1"/>
    <w:rsid w:val="7679630F"/>
    <w:rsid w:val="76BC6D5B"/>
    <w:rsid w:val="76BF215E"/>
    <w:rsid w:val="76C455BA"/>
    <w:rsid w:val="76C60A16"/>
    <w:rsid w:val="76CFBD4D"/>
    <w:rsid w:val="76F22A84"/>
    <w:rsid w:val="771C75FE"/>
    <w:rsid w:val="772A7FEF"/>
    <w:rsid w:val="773D3A71"/>
    <w:rsid w:val="776B0159"/>
    <w:rsid w:val="776F4209"/>
    <w:rsid w:val="776F53C8"/>
    <w:rsid w:val="77723BEF"/>
    <w:rsid w:val="7777D80A"/>
    <w:rsid w:val="777EF45D"/>
    <w:rsid w:val="77D2050C"/>
    <w:rsid w:val="77DED5C7"/>
    <w:rsid w:val="77EBFBD0"/>
    <w:rsid w:val="77ED224B"/>
    <w:rsid w:val="77FF75CA"/>
    <w:rsid w:val="78323EB9"/>
    <w:rsid w:val="785D0243"/>
    <w:rsid w:val="78992B1A"/>
    <w:rsid w:val="78ED8B36"/>
    <w:rsid w:val="78FF1A94"/>
    <w:rsid w:val="78FFBEE5"/>
    <w:rsid w:val="79284081"/>
    <w:rsid w:val="799329B6"/>
    <w:rsid w:val="79AA3596"/>
    <w:rsid w:val="79DC2698"/>
    <w:rsid w:val="79F51338"/>
    <w:rsid w:val="7A17440B"/>
    <w:rsid w:val="7A3D05F9"/>
    <w:rsid w:val="7A8E7C22"/>
    <w:rsid w:val="7AFF3442"/>
    <w:rsid w:val="7B20367C"/>
    <w:rsid w:val="7B379592"/>
    <w:rsid w:val="7B7D2A27"/>
    <w:rsid w:val="7B9EA490"/>
    <w:rsid w:val="7BAF774A"/>
    <w:rsid w:val="7BAFF99E"/>
    <w:rsid w:val="7BBAF3DF"/>
    <w:rsid w:val="7BBF547F"/>
    <w:rsid w:val="7BBFC057"/>
    <w:rsid w:val="7BCC2D08"/>
    <w:rsid w:val="7BE27170"/>
    <w:rsid w:val="7BEF6CF1"/>
    <w:rsid w:val="7BF3A4CB"/>
    <w:rsid w:val="7BF982F6"/>
    <w:rsid w:val="7BFD111A"/>
    <w:rsid w:val="7BFD90E2"/>
    <w:rsid w:val="7BFE5ACA"/>
    <w:rsid w:val="7C1334B6"/>
    <w:rsid w:val="7C6051AF"/>
    <w:rsid w:val="7C8A1938"/>
    <w:rsid w:val="7CC7C846"/>
    <w:rsid w:val="7CDE0C24"/>
    <w:rsid w:val="7CFF284F"/>
    <w:rsid w:val="7D29ACCB"/>
    <w:rsid w:val="7D564CFF"/>
    <w:rsid w:val="7D5834D5"/>
    <w:rsid w:val="7D7FEC26"/>
    <w:rsid w:val="7DB71381"/>
    <w:rsid w:val="7DBE26F0"/>
    <w:rsid w:val="7DBFCB18"/>
    <w:rsid w:val="7DC0500C"/>
    <w:rsid w:val="7DD533AF"/>
    <w:rsid w:val="7DD9FD3A"/>
    <w:rsid w:val="7DDB2787"/>
    <w:rsid w:val="7DEF6E81"/>
    <w:rsid w:val="7DFA6BA0"/>
    <w:rsid w:val="7E900BBD"/>
    <w:rsid w:val="7EBD3B5F"/>
    <w:rsid w:val="7EBDB388"/>
    <w:rsid w:val="7EBF72FE"/>
    <w:rsid w:val="7ED91BF8"/>
    <w:rsid w:val="7EE971E5"/>
    <w:rsid w:val="7EF217E8"/>
    <w:rsid w:val="7EF71E5D"/>
    <w:rsid w:val="7EF7979C"/>
    <w:rsid w:val="7F367EEE"/>
    <w:rsid w:val="7F5EBCF8"/>
    <w:rsid w:val="7F5FD623"/>
    <w:rsid w:val="7F6D74F4"/>
    <w:rsid w:val="7F743C46"/>
    <w:rsid w:val="7F87302F"/>
    <w:rsid w:val="7F999341"/>
    <w:rsid w:val="7FB57562"/>
    <w:rsid w:val="7FB7C2A8"/>
    <w:rsid w:val="7FBFB2BA"/>
    <w:rsid w:val="7FCFFE4B"/>
    <w:rsid w:val="7FEADC6C"/>
    <w:rsid w:val="7FF37242"/>
    <w:rsid w:val="7FF8803B"/>
    <w:rsid w:val="7FFF2659"/>
    <w:rsid w:val="7FFF2AC0"/>
    <w:rsid w:val="7FFF7F2A"/>
    <w:rsid w:val="7FFF959C"/>
    <w:rsid w:val="879C93FA"/>
    <w:rsid w:val="89BE7077"/>
    <w:rsid w:val="8C374B9B"/>
    <w:rsid w:val="8FBBC1B6"/>
    <w:rsid w:val="94D7453B"/>
    <w:rsid w:val="9D73749B"/>
    <w:rsid w:val="9EF7F992"/>
    <w:rsid w:val="9FECBA20"/>
    <w:rsid w:val="9FEFB910"/>
    <w:rsid w:val="A3EFA489"/>
    <w:rsid w:val="A6FFE4A1"/>
    <w:rsid w:val="A99F1C71"/>
    <w:rsid w:val="A9CC2157"/>
    <w:rsid w:val="AEEEB71F"/>
    <w:rsid w:val="AF1794AC"/>
    <w:rsid w:val="AFB7DF26"/>
    <w:rsid w:val="AFF36566"/>
    <w:rsid w:val="AFF69DEE"/>
    <w:rsid w:val="AFFBA7C7"/>
    <w:rsid w:val="B33B3D4F"/>
    <w:rsid w:val="B39B4C5E"/>
    <w:rsid w:val="B3DF79F4"/>
    <w:rsid w:val="B4EF5B69"/>
    <w:rsid w:val="B6571036"/>
    <w:rsid w:val="B7BFFD28"/>
    <w:rsid w:val="B7DFDF1F"/>
    <w:rsid w:val="B7EF1300"/>
    <w:rsid w:val="B7FDA238"/>
    <w:rsid w:val="B7FF42C3"/>
    <w:rsid w:val="BA7B23C6"/>
    <w:rsid w:val="BB4EA2C7"/>
    <w:rsid w:val="BDBD9DFC"/>
    <w:rsid w:val="BE5033BE"/>
    <w:rsid w:val="BF3F884F"/>
    <w:rsid w:val="BF6DB156"/>
    <w:rsid w:val="BF777494"/>
    <w:rsid w:val="BF7E42B6"/>
    <w:rsid w:val="BFB7FD72"/>
    <w:rsid w:val="BFBDF4AA"/>
    <w:rsid w:val="BFD7F18F"/>
    <w:rsid w:val="BFDD4769"/>
    <w:rsid w:val="BFF35D70"/>
    <w:rsid w:val="BFFBED21"/>
    <w:rsid w:val="BFFF1B0A"/>
    <w:rsid w:val="C3CD46D7"/>
    <w:rsid w:val="C697ADEE"/>
    <w:rsid w:val="C7A3ED93"/>
    <w:rsid w:val="C7F7B259"/>
    <w:rsid w:val="CB7F5910"/>
    <w:rsid w:val="CDFF16B6"/>
    <w:rsid w:val="CFFC0643"/>
    <w:rsid w:val="D57F6EFE"/>
    <w:rsid w:val="D6DD3FAF"/>
    <w:rsid w:val="D6FF6BCC"/>
    <w:rsid w:val="D795A7C4"/>
    <w:rsid w:val="D79F74EE"/>
    <w:rsid w:val="D7ADE8E0"/>
    <w:rsid w:val="D7DCD345"/>
    <w:rsid w:val="D7FE47A5"/>
    <w:rsid w:val="D7FF53F7"/>
    <w:rsid w:val="DBD34020"/>
    <w:rsid w:val="DBD6CB91"/>
    <w:rsid w:val="DBFFBB45"/>
    <w:rsid w:val="DCEDA665"/>
    <w:rsid w:val="DCF73F0C"/>
    <w:rsid w:val="DDBB2837"/>
    <w:rsid w:val="DDCF01A4"/>
    <w:rsid w:val="DEE77C20"/>
    <w:rsid w:val="DF6FA55B"/>
    <w:rsid w:val="DF7B5031"/>
    <w:rsid w:val="DF7F9E0C"/>
    <w:rsid w:val="DF8B57DE"/>
    <w:rsid w:val="DFB6A61A"/>
    <w:rsid w:val="DFBD31D5"/>
    <w:rsid w:val="DFBE3BD7"/>
    <w:rsid w:val="DFCA2915"/>
    <w:rsid w:val="DFDEDE4E"/>
    <w:rsid w:val="DFEF3656"/>
    <w:rsid w:val="DFF93AD8"/>
    <w:rsid w:val="DFFFAB6D"/>
    <w:rsid w:val="E0FF0C19"/>
    <w:rsid w:val="E32EA283"/>
    <w:rsid w:val="E5BF0B08"/>
    <w:rsid w:val="E5DFDDC6"/>
    <w:rsid w:val="E5F943AC"/>
    <w:rsid w:val="E63FFDD2"/>
    <w:rsid w:val="E6CBCCAB"/>
    <w:rsid w:val="E6FF89B6"/>
    <w:rsid w:val="E7D508A4"/>
    <w:rsid w:val="E9ED8708"/>
    <w:rsid w:val="EBB76E80"/>
    <w:rsid w:val="EBDB8E9E"/>
    <w:rsid w:val="EBFB5268"/>
    <w:rsid w:val="ECFFB933"/>
    <w:rsid w:val="ED72499E"/>
    <w:rsid w:val="EE3E4E97"/>
    <w:rsid w:val="EEEEB0E5"/>
    <w:rsid w:val="EEFD0DC2"/>
    <w:rsid w:val="EF2A55EA"/>
    <w:rsid w:val="EF7E68CA"/>
    <w:rsid w:val="EF7FAC50"/>
    <w:rsid w:val="EFBFD728"/>
    <w:rsid w:val="EFC3B6DF"/>
    <w:rsid w:val="EFE334D2"/>
    <w:rsid w:val="EFE7DA10"/>
    <w:rsid w:val="EFEEC35C"/>
    <w:rsid w:val="EFEF0D35"/>
    <w:rsid w:val="EFEF3EB1"/>
    <w:rsid w:val="EFEFF8C7"/>
    <w:rsid w:val="EFF4BBCF"/>
    <w:rsid w:val="EFFE3AC6"/>
    <w:rsid w:val="F0FF3D2D"/>
    <w:rsid w:val="F2E56B99"/>
    <w:rsid w:val="F3E8A11A"/>
    <w:rsid w:val="F42F5785"/>
    <w:rsid w:val="F58F429A"/>
    <w:rsid w:val="F5E74673"/>
    <w:rsid w:val="F5FF2EE7"/>
    <w:rsid w:val="F6DA11E0"/>
    <w:rsid w:val="F6DF1711"/>
    <w:rsid w:val="F6FEA836"/>
    <w:rsid w:val="F77D497D"/>
    <w:rsid w:val="F77FFB8C"/>
    <w:rsid w:val="F7BDD7BF"/>
    <w:rsid w:val="F7EE7F24"/>
    <w:rsid w:val="F7EFF601"/>
    <w:rsid w:val="F7F356CB"/>
    <w:rsid w:val="F7FAF79E"/>
    <w:rsid w:val="F7FB7B3E"/>
    <w:rsid w:val="F7FE1195"/>
    <w:rsid w:val="F7FF6630"/>
    <w:rsid w:val="F7FFCF4A"/>
    <w:rsid w:val="FA66CAA6"/>
    <w:rsid w:val="FA7AE1E8"/>
    <w:rsid w:val="FACE7631"/>
    <w:rsid w:val="FAEF0EDF"/>
    <w:rsid w:val="FB5CDD4C"/>
    <w:rsid w:val="FB6D03EA"/>
    <w:rsid w:val="FB75212B"/>
    <w:rsid w:val="FB89207A"/>
    <w:rsid w:val="FBBF7EB2"/>
    <w:rsid w:val="FBCAE352"/>
    <w:rsid w:val="FBDF0171"/>
    <w:rsid w:val="FBEF8C65"/>
    <w:rsid w:val="FBFADAAF"/>
    <w:rsid w:val="FBFB5D08"/>
    <w:rsid w:val="FBFE6CF6"/>
    <w:rsid w:val="FBFF1FC2"/>
    <w:rsid w:val="FC1F8EB2"/>
    <w:rsid w:val="FC5F3186"/>
    <w:rsid w:val="FCDE7C7F"/>
    <w:rsid w:val="FCE931C1"/>
    <w:rsid w:val="FCEBA2AC"/>
    <w:rsid w:val="FCEF772C"/>
    <w:rsid w:val="FCFDDA69"/>
    <w:rsid w:val="FCFE5322"/>
    <w:rsid w:val="FD2672F2"/>
    <w:rsid w:val="FD6FCC05"/>
    <w:rsid w:val="FDABF95D"/>
    <w:rsid w:val="FDB67003"/>
    <w:rsid w:val="FDBDB802"/>
    <w:rsid w:val="FDDB68B3"/>
    <w:rsid w:val="FDEF0516"/>
    <w:rsid w:val="FDF807AA"/>
    <w:rsid w:val="FDFFB9E6"/>
    <w:rsid w:val="FDFFCF98"/>
    <w:rsid w:val="FE45094B"/>
    <w:rsid w:val="FE9BFCF8"/>
    <w:rsid w:val="FEA75873"/>
    <w:rsid w:val="FEBD7C81"/>
    <w:rsid w:val="FEDFC50D"/>
    <w:rsid w:val="FEE58952"/>
    <w:rsid w:val="FEF73EC7"/>
    <w:rsid w:val="FEFF42F0"/>
    <w:rsid w:val="FEFFE680"/>
    <w:rsid w:val="FF1E85FF"/>
    <w:rsid w:val="FF2725F4"/>
    <w:rsid w:val="FF3F8B52"/>
    <w:rsid w:val="FF4A467D"/>
    <w:rsid w:val="FF55FD08"/>
    <w:rsid w:val="FF638D1E"/>
    <w:rsid w:val="FF6BFDF1"/>
    <w:rsid w:val="FF7B0D6F"/>
    <w:rsid w:val="FF7BC53B"/>
    <w:rsid w:val="FF7D67F9"/>
    <w:rsid w:val="FF7EE2FB"/>
    <w:rsid w:val="FF87E282"/>
    <w:rsid w:val="FF8FB5E3"/>
    <w:rsid w:val="FFAF99DE"/>
    <w:rsid w:val="FFBFD837"/>
    <w:rsid w:val="FFD3CA8E"/>
    <w:rsid w:val="FFD5B514"/>
    <w:rsid w:val="FFDF9714"/>
    <w:rsid w:val="FFE63C78"/>
    <w:rsid w:val="FFF3EFE4"/>
    <w:rsid w:val="FFF4C9F6"/>
    <w:rsid w:val="FFFBA316"/>
    <w:rsid w:val="FFFD5C8B"/>
    <w:rsid w:val="FFFD8514"/>
    <w:rsid w:val="FFFE4F25"/>
    <w:rsid w:val="FFFEEDC7"/>
    <w:rsid w:val="FFFF60A3"/>
    <w:rsid w:val="FFFFD3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ind w:firstLine="560" w:firstLineChars="200"/>
      <w:jc w:val="both"/>
    </w:pPr>
    <w:rPr>
      <w:rFonts w:ascii="仿宋_GB2312" w:hAnsi="仿宋_GB2312" w:eastAsia="仿宋_GB2312" w:cs="仿宋"/>
      <w:sz w:val="32"/>
      <w:szCs w:val="32"/>
      <w:lang w:val="zh-CN" w:eastAsia="zh-CN" w:bidi="zh-CN"/>
    </w:rPr>
  </w:style>
  <w:style w:type="paragraph" w:styleId="3">
    <w:name w:val="heading 1"/>
    <w:basedOn w:val="1"/>
    <w:next w:val="1"/>
    <w:link w:val="28"/>
    <w:qFormat/>
    <w:uiPriority w:val="0"/>
    <w:pPr>
      <w:keepNext/>
      <w:keepLines/>
      <w:spacing w:before="50" w:beforeLines="50" w:after="50" w:afterLines="50"/>
      <w:ind w:firstLine="0" w:firstLineChars="0"/>
      <w:jc w:val="center"/>
      <w:outlineLvl w:val="0"/>
    </w:pPr>
    <w:rPr>
      <w:rFonts w:ascii="黑体" w:hAnsi="黑体" w:eastAsia="黑体" w:cs="黑体"/>
      <w:b/>
      <w:bCs/>
      <w:kern w:val="44"/>
      <w:sz w:val="36"/>
      <w:szCs w:val="44"/>
    </w:rPr>
  </w:style>
  <w:style w:type="paragraph" w:styleId="4">
    <w:name w:val="heading 2"/>
    <w:basedOn w:val="1"/>
    <w:next w:val="1"/>
    <w:link w:val="32"/>
    <w:unhideWhenUsed/>
    <w:qFormat/>
    <w:uiPriority w:val="0"/>
    <w:pPr>
      <w:keepNext/>
      <w:keepLines/>
      <w:ind w:firstLine="0" w:firstLineChars="0"/>
      <w:jc w:val="center"/>
      <w:outlineLvl w:val="1"/>
    </w:pPr>
    <w:rPr>
      <w:rFonts w:eastAsia="黑体"/>
      <w:b/>
      <w:bCs/>
    </w:rPr>
  </w:style>
  <w:style w:type="paragraph" w:styleId="5">
    <w:name w:val="heading 3"/>
    <w:basedOn w:val="1"/>
    <w:next w:val="1"/>
    <w:link w:val="33"/>
    <w:unhideWhenUsed/>
    <w:qFormat/>
    <w:uiPriority w:val="0"/>
    <w:pPr>
      <w:keepNext/>
      <w:keepLines/>
      <w:spacing w:before="260" w:after="260" w:line="416" w:lineRule="auto"/>
      <w:outlineLvl w:val="2"/>
    </w:pPr>
    <w:rPr>
      <w:b/>
      <w:bCs/>
    </w:rPr>
  </w:style>
  <w:style w:type="paragraph" w:styleId="6">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unhideWhenUsed/>
    <w:qFormat/>
    <w:uiPriority w:val="0"/>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8">
    <w:name w:val="annotation text"/>
    <w:basedOn w:val="1"/>
    <w:semiHidden/>
    <w:unhideWhenUsed/>
    <w:qFormat/>
    <w:uiPriority w:val="0"/>
    <w:pPr>
      <w:jc w:val="left"/>
    </w:pPr>
  </w:style>
  <w:style w:type="paragraph" w:styleId="9">
    <w:name w:val="Body Text"/>
    <w:basedOn w:val="1"/>
    <w:link w:val="29"/>
    <w:qFormat/>
    <w:uiPriority w:val="1"/>
  </w:style>
  <w:style w:type="paragraph" w:styleId="10">
    <w:name w:val="toc 3"/>
    <w:basedOn w:val="1"/>
    <w:next w:val="1"/>
    <w:unhideWhenUsed/>
    <w:qFormat/>
    <w:uiPriority w:val="39"/>
    <w:pPr>
      <w:widowControl/>
      <w:autoSpaceDE/>
      <w:autoSpaceDN/>
      <w:spacing w:after="100" w:line="259" w:lineRule="auto"/>
      <w:ind w:left="440"/>
    </w:pPr>
    <w:rPr>
      <w:rFonts w:cs="Times New Roman" w:asciiTheme="minorHAnsi" w:hAnsiTheme="minorHAnsi" w:eastAsiaTheme="minorEastAsia"/>
      <w:lang w:val="en-US" w:bidi="ar-SA"/>
    </w:rPr>
  </w:style>
  <w:style w:type="paragraph" w:styleId="11">
    <w:name w:val="Body Text Indent 2"/>
    <w:basedOn w:val="1"/>
    <w:qFormat/>
    <w:uiPriority w:val="0"/>
    <w:pPr>
      <w:spacing w:after="120" w:line="480" w:lineRule="auto"/>
      <w:ind w:left="420" w:leftChars="200"/>
    </w:pPr>
  </w:style>
  <w:style w:type="paragraph" w:styleId="12">
    <w:name w:val="Balloon Text"/>
    <w:basedOn w:val="1"/>
    <w:link w:val="40"/>
    <w:qFormat/>
    <w:uiPriority w:val="0"/>
    <w:rPr>
      <w:sz w:val="18"/>
      <w:szCs w:val="18"/>
    </w:rPr>
  </w:style>
  <w:style w:type="paragraph" w:styleId="13">
    <w:name w:val="footer"/>
    <w:basedOn w:val="1"/>
    <w:link w:val="39"/>
    <w:qFormat/>
    <w:uiPriority w:val="99"/>
    <w:pPr>
      <w:tabs>
        <w:tab w:val="center" w:pos="4153"/>
        <w:tab w:val="right" w:pos="8306"/>
      </w:tabs>
      <w:snapToGrid w:val="0"/>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autoSpaceDE/>
      <w:autoSpaceDN/>
      <w:spacing w:after="100" w:line="259" w:lineRule="auto"/>
    </w:pPr>
    <w:rPr>
      <w:rFonts w:cs="Times New Roman" w:asciiTheme="minorHAnsi" w:hAnsiTheme="minorHAnsi" w:eastAsiaTheme="minorEastAsia"/>
      <w:lang w:val="en-US" w:bidi="ar-SA"/>
    </w:rPr>
  </w:style>
  <w:style w:type="paragraph" w:styleId="16">
    <w:name w:val="Subtitle"/>
    <w:basedOn w:val="1"/>
    <w:next w:val="1"/>
    <w:qFormat/>
    <w:uiPriority w:val="11"/>
    <w:pPr>
      <w:ind w:firstLine="200" w:firstLineChars="200"/>
      <w:outlineLvl w:val="1"/>
    </w:pPr>
    <w:rPr>
      <w:rFonts w:ascii="Calibri Light" w:hAnsi="Calibri Light" w:eastAsia="楷体_GB2312"/>
      <w:b/>
      <w:bCs/>
      <w:kern w:val="28"/>
      <w:sz w:val="32"/>
      <w:szCs w:val="32"/>
    </w:rPr>
  </w:style>
  <w:style w:type="paragraph" w:styleId="17">
    <w:name w:val="toc 2"/>
    <w:basedOn w:val="1"/>
    <w:next w:val="1"/>
    <w:unhideWhenUsed/>
    <w:qFormat/>
    <w:uiPriority w:val="39"/>
    <w:pPr>
      <w:ind w:left="420" w:leftChars="200"/>
    </w:pPr>
  </w:style>
  <w:style w:type="paragraph" w:styleId="18">
    <w:name w:val="Normal (Web)"/>
    <w:basedOn w:val="1"/>
    <w:qFormat/>
    <w:uiPriority w:val="0"/>
    <w:rPr>
      <w:rFonts w:ascii="Times New Roman" w:hAnsi="Times New Roman" w:cs="Times New Roman"/>
      <w:sz w:val="24"/>
      <w:szCs w:val="24"/>
    </w:rPr>
  </w:style>
  <w:style w:type="paragraph" w:styleId="19">
    <w:name w:val="Title"/>
    <w:basedOn w:val="1"/>
    <w:next w:val="1"/>
    <w:link w:val="37"/>
    <w:qFormat/>
    <w:uiPriority w:val="0"/>
    <w:pPr>
      <w:spacing w:before="240" w:after="60"/>
      <w:jc w:val="center"/>
      <w:outlineLvl w:val="0"/>
    </w:pPr>
    <w:rPr>
      <w:rFonts w:asciiTheme="majorHAnsi" w:hAnsiTheme="majorHAnsi" w:eastAsiaTheme="majorEastAsia" w:cstheme="majorBidi"/>
      <w:b/>
      <w:bCs/>
    </w:rPr>
  </w:style>
  <w:style w:type="paragraph" w:styleId="20">
    <w:name w:val="Body Text First Indent"/>
    <w:basedOn w:val="9"/>
    <w:link w:val="30"/>
    <w:unhideWhenUsed/>
    <w:qFormat/>
    <w:uiPriority w:val="99"/>
    <w:pPr>
      <w:spacing w:after="120"/>
      <w:ind w:firstLine="420" w:firstLineChars="100"/>
    </w:pPr>
    <w:rPr>
      <w:sz w:val="22"/>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FollowedHyperlink"/>
    <w:basedOn w:val="23"/>
    <w:semiHidden/>
    <w:unhideWhenUsed/>
    <w:qFormat/>
    <w:uiPriority w:val="0"/>
    <w:rPr>
      <w:color w:val="333333"/>
      <w:u w:val="none"/>
    </w:rPr>
  </w:style>
  <w:style w:type="character" w:styleId="26">
    <w:name w:val="Emphasis"/>
    <w:basedOn w:val="23"/>
    <w:qFormat/>
    <w:uiPriority w:val="0"/>
  </w:style>
  <w:style w:type="character" w:styleId="27">
    <w:name w:val="Hyperlink"/>
    <w:basedOn w:val="23"/>
    <w:unhideWhenUsed/>
    <w:qFormat/>
    <w:uiPriority w:val="99"/>
    <w:rPr>
      <w:color w:val="0563C1" w:themeColor="hyperlink"/>
      <w:u w:val="single"/>
      <w14:textFill>
        <w14:solidFill>
          <w14:schemeClr w14:val="hlink"/>
        </w14:solidFill>
      </w14:textFill>
    </w:rPr>
  </w:style>
  <w:style w:type="character" w:customStyle="1" w:styleId="28">
    <w:name w:val="标题 1 字符"/>
    <w:basedOn w:val="23"/>
    <w:link w:val="3"/>
    <w:qFormat/>
    <w:uiPriority w:val="0"/>
    <w:rPr>
      <w:rFonts w:ascii="黑体" w:hAnsi="黑体" w:eastAsia="黑体" w:cs="黑体"/>
      <w:b/>
      <w:bCs/>
      <w:kern w:val="44"/>
      <w:sz w:val="36"/>
      <w:szCs w:val="44"/>
      <w:lang w:val="zh-CN" w:bidi="zh-CN"/>
    </w:rPr>
  </w:style>
  <w:style w:type="character" w:customStyle="1" w:styleId="29">
    <w:name w:val="正文文本 字符"/>
    <w:basedOn w:val="23"/>
    <w:link w:val="9"/>
    <w:qFormat/>
    <w:uiPriority w:val="1"/>
    <w:rPr>
      <w:rFonts w:ascii="宋体" w:hAnsi="宋体" w:cs="宋体"/>
      <w:sz w:val="32"/>
      <w:szCs w:val="32"/>
      <w:lang w:val="zh-CN" w:bidi="zh-CN"/>
    </w:rPr>
  </w:style>
  <w:style w:type="character" w:customStyle="1" w:styleId="30">
    <w:name w:val="正文文本首行缩进 字符"/>
    <w:basedOn w:val="29"/>
    <w:link w:val="20"/>
    <w:qFormat/>
    <w:uiPriority w:val="99"/>
    <w:rPr>
      <w:rFonts w:ascii="宋体" w:hAnsi="宋体" w:cs="宋体"/>
      <w:sz w:val="22"/>
      <w:szCs w:val="22"/>
      <w:lang w:val="zh-CN" w:bidi="zh-CN"/>
    </w:rPr>
  </w:style>
  <w:style w:type="paragraph" w:styleId="31">
    <w:name w:val="List Paragraph"/>
    <w:basedOn w:val="1"/>
    <w:unhideWhenUsed/>
    <w:qFormat/>
    <w:uiPriority w:val="1"/>
    <w:pPr>
      <w:ind w:firstLine="420"/>
    </w:pPr>
  </w:style>
  <w:style w:type="character" w:customStyle="1" w:styleId="32">
    <w:name w:val="标题 2 字符"/>
    <w:basedOn w:val="23"/>
    <w:link w:val="4"/>
    <w:qFormat/>
    <w:uiPriority w:val="0"/>
    <w:rPr>
      <w:rFonts w:ascii="仿宋" w:hAnsi="仿宋" w:eastAsia="黑体" w:cs="仿宋"/>
      <w:b/>
      <w:bCs/>
      <w:sz w:val="32"/>
      <w:szCs w:val="32"/>
      <w:lang w:val="zh-CN" w:bidi="zh-CN"/>
    </w:rPr>
  </w:style>
  <w:style w:type="character" w:customStyle="1" w:styleId="33">
    <w:name w:val="标题 3 字符"/>
    <w:basedOn w:val="23"/>
    <w:link w:val="5"/>
    <w:qFormat/>
    <w:uiPriority w:val="0"/>
    <w:rPr>
      <w:rFonts w:ascii="宋体" w:hAnsi="宋体" w:cs="宋体"/>
      <w:b/>
      <w:bCs/>
      <w:sz w:val="32"/>
      <w:szCs w:val="32"/>
      <w:lang w:val="zh-CN" w:bidi="zh-CN"/>
    </w:rPr>
  </w:style>
  <w:style w:type="paragraph" w:customStyle="1" w:styleId="34">
    <w:name w:val="TOC 标题1"/>
    <w:basedOn w:val="3"/>
    <w:next w:val="1"/>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val="en-US" w:bidi="ar-SA"/>
    </w:rPr>
  </w:style>
  <w:style w:type="character" w:customStyle="1" w:styleId="35">
    <w:name w:val="标题 4 字符"/>
    <w:basedOn w:val="23"/>
    <w:link w:val="6"/>
    <w:qFormat/>
    <w:uiPriority w:val="0"/>
    <w:rPr>
      <w:rFonts w:asciiTheme="majorHAnsi" w:hAnsiTheme="majorHAnsi" w:eastAsiaTheme="majorEastAsia" w:cstheme="majorBidi"/>
      <w:b/>
      <w:bCs/>
      <w:sz w:val="28"/>
      <w:szCs w:val="28"/>
      <w:lang w:val="zh-CN" w:bidi="zh-CN"/>
    </w:rPr>
  </w:style>
  <w:style w:type="character" w:customStyle="1" w:styleId="36">
    <w:name w:val="标题 5 字符"/>
    <w:basedOn w:val="23"/>
    <w:link w:val="7"/>
    <w:qFormat/>
    <w:uiPriority w:val="0"/>
    <w:rPr>
      <w:rFonts w:ascii="宋体" w:hAnsi="宋体" w:cs="宋体"/>
      <w:b/>
      <w:bCs/>
      <w:sz w:val="28"/>
      <w:szCs w:val="28"/>
      <w:lang w:val="zh-CN" w:bidi="zh-CN"/>
    </w:rPr>
  </w:style>
  <w:style w:type="character" w:customStyle="1" w:styleId="37">
    <w:name w:val="标题 字符"/>
    <w:basedOn w:val="23"/>
    <w:link w:val="19"/>
    <w:qFormat/>
    <w:uiPriority w:val="0"/>
    <w:rPr>
      <w:rFonts w:asciiTheme="majorHAnsi" w:hAnsiTheme="majorHAnsi" w:eastAsiaTheme="majorEastAsia" w:cstheme="majorBidi"/>
      <w:b/>
      <w:bCs/>
      <w:sz w:val="32"/>
      <w:szCs w:val="32"/>
      <w:lang w:val="zh-CN" w:bidi="zh-CN"/>
    </w:rPr>
  </w:style>
  <w:style w:type="character" w:customStyle="1" w:styleId="38">
    <w:name w:val="页眉 字符"/>
    <w:basedOn w:val="23"/>
    <w:link w:val="14"/>
    <w:qFormat/>
    <w:uiPriority w:val="0"/>
    <w:rPr>
      <w:rFonts w:ascii="宋体" w:hAnsi="宋体" w:cs="宋体"/>
      <w:sz w:val="18"/>
      <w:szCs w:val="18"/>
      <w:lang w:val="zh-CN" w:bidi="zh-CN"/>
    </w:rPr>
  </w:style>
  <w:style w:type="character" w:customStyle="1" w:styleId="39">
    <w:name w:val="页脚 字符"/>
    <w:basedOn w:val="23"/>
    <w:link w:val="13"/>
    <w:qFormat/>
    <w:uiPriority w:val="99"/>
    <w:rPr>
      <w:rFonts w:ascii="宋体" w:hAnsi="宋体" w:cs="宋体"/>
      <w:sz w:val="18"/>
      <w:szCs w:val="18"/>
      <w:lang w:val="zh-CN" w:bidi="zh-CN"/>
    </w:rPr>
  </w:style>
  <w:style w:type="character" w:customStyle="1" w:styleId="40">
    <w:name w:val="批注框文本 字符"/>
    <w:basedOn w:val="23"/>
    <w:link w:val="12"/>
    <w:qFormat/>
    <w:uiPriority w:val="0"/>
    <w:rPr>
      <w:rFonts w:ascii="宋体" w:hAnsi="宋体" w:cs="宋体"/>
      <w:sz w:val="18"/>
      <w:szCs w:val="18"/>
      <w:lang w:val="zh-CN" w:bidi="zh-CN"/>
    </w:rPr>
  </w:style>
  <w:style w:type="character" w:customStyle="1" w:styleId="41">
    <w:name w:val="font21"/>
    <w:basedOn w:val="2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30758</Words>
  <Characters>31338</Characters>
  <Lines>185</Lines>
  <Paragraphs>52</Paragraphs>
  <TotalTime>7</TotalTime>
  <ScaleCrop>false</ScaleCrop>
  <LinksUpToDate>false</LinksUpToDate>
  <CharactersWithSpaces>31905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2020-04-15T19:21:00Z</dcterms:created>
  <dc:creator>Adjministrator</dc:creator>
  <cp:lastModifiedBy>greatwall</cp:lastModifiedBy>
  <dcterms:modified xsi:type="dcterms:W3CDTF">2022-03-07T08:45:36Z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B3839155DC614D1AAB9958D556FD73DD</vt:lpwstr>
  </property>
</Properties>
</file>