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F96" w:rsidRPr="000870A5" w:rsidRDefault="00751F96" w:rsidP="00751F96">
      <w:pPr>
        <w:pStyle w:val="H1"/>
        <w:rPr>
          <w:rFonts w:ascii="黑体"/>
          <w:color w:val="auto"/>
        </w:rPr>
      </w:pPr>
      <w:bookmarkStart w:id="0" w:name="_Toc272218546"/>
      <w:bookmarkStart w:id="1" w:name="_Toc28951"/>
      <w:r>
        <w:rPr>
          <w:rFonts w:ascii="黑体" w:hint="eastAsia"/>
          <w:color w:val="auto"/>
        </w:rPr>
        <w:t>第三章项目要求</w:t>
      </w:r>
      <w:bookmarkStart w:id="2" w:name="_Toc511899298"/>
      <w:bookmarkEnd w:id="0"/>
      <w:bookmarkEnd w:id="1"/>
      <w:bookmarkEnd w:id="2"/>
    </w:p>
    <w:p w:rsidR="00751F96" w:rsidRDefault="00751F96" w:rsidP="00751F96">
      <w:pPr>
        <w:spacing w:line="560" w:lineRule="exact"/>
        <w:ind w:hanging="20"/>
        <w:rPr>
          <w:b/>
          <w:sz w:val="32"/>
          <w:szCs w:val="32"/>
        </w:rPr>
      </w:pPr>
      <w:r>
        <w:rPr>
          <w:rFonts w:hint="eastAsia"/>
          <w:b/>
          <w:sz w:val="32"/>
          <w:szCs w:val="32"/>
        </w:rPr>
        <w:t>一、项目概况</w:t>
      </w:r>
    </w:p>
    <w:p w:rsidR="00751F96" w:rsidRDefault="00751F96" w:rsidP="00751F96">
      <w:pPr>
        <w:spacing w:line="560" w:lineRule="exact"/>
        <w:ind w:firstLineChars="200" w:firstLine="640"/>
        <w:rPr>
          <w:rFonts w:eastAsia="仿宋_GB2312"/>
          <w:sz w:val="32"/>
          <w:szCs w:val="32"/>
        </w:rPr>
      </w:pPr>
      <w:r>
        <w:rPr>
          <w:rFonts w:ascii="宋体" w:hAnsi="宋体"/>
          <w:sz w:val="32"/>
          <w:szCs w:val="32"/>
        </w:rPr>
        <w:t>2020</w:t>
      </w:r>
      <w:r>
        <w:rPr>
          <w:rFonts w:ascii="宋体" w:hAnsi="宋体" w:hint="eastAsia"/>
          <w:sz w:val="32"/>
          <w:szCs w:val="32"/>
        </w:rPr>
        <w:t>年是全面建成小康社会和</w:t>
      </w:r>
      <w:r>
        <w:rPr>
          <w:rFonts w:ascii="宋体" w:hint="eastAsia"/>
          <w:sz w:val="32"/>
          <w:szCs w:val="32"/>
        </w:rPr>
        <w:t>“</w:t>
      </w:r>
      <w:r>
        <w:rPr>
          <w:rFonts w:ascii="宋体" w:hAnsi="宋体" w:hint="eastAsia"/>
          <w:sz w:val="32"/>
          <w:szCs w:val="32"/>
        </w:rPr>
        <w:t>十三五</w:t>
      </w:r>
      <w:r>
        <w:rPr>
          <w:rFonts w:ascii="宋体" w:hint="eastAsia"/>
          <w:sz w:val="32"/>
          <w:szCs w:val="32"/>
        </w:rPr>
        <w:t>”</w:t>
      </w:r>
      <w:r>
        <w:rPr>
          <w:rFonts w:ascii="宋体" w:hAnsi="宋体" w:hint="eastAsia"/>
          <w:sz w:val="32"/>
          <w:szCs w:val="32"/>
        </w:rPr>
        <w:t>规划收官之年，是实现第一个百年奋斗目标、为</w:t>
      </w:r>
      <w:r>
        <w:rPr>
          <w:rFonts w:ascii="宋体" w:hint="eastAsia"/>
          <w:sz w:val="32"/>
          <w:szCs w:val="32"/>
        </w:rPr>
        <w:t>“</w:t>
      </w:r>
      <w:r>
        <w:rPr>
          <w:rFonts w:ascii="宋体" w:hAnsi="宋体" w:hint="eastAsia"/>
          <w:sz w:val="32"/>
          <w:szCs w:val="32"/>
        </w:rPr>
        <w:t>十四五</w:t>
      </w:r>
      <w:r>
        <w:rPr>
          <w:rFonts w:ascii="宋体" w:hint="eastAsia"/>
          <w:sz w:val="32"/>
          <w:szCs w:val="32"/>
        </w:rPr>
        <w:t>”</w:t>
      </w:r>
      <w:r>
        <w:rPr>
          <w:rFonts w:ascii="宋体" w:hAnsi="宋体" w:hint="eastAsia"/>
          <w:sz w:val="32"/>
          <w:szCs w:val="32"/>
        </w:rPr>
        <w:t>发展和实现第二个百年奋斗目标打好基础的关键一年。根据《中华人民共和国各级人民代表大会常务委员会监督法》《中共中央办公厅、国务院办公厅印发〈关于建立健全国家“十三五”规划纲要实施机制的意见〉的通知》和《中共安徽省委办公厅、安徽省人民政府办公厅印发〈关于建立健全安徽省“十三五”规划纲要实施机制的意见〉的通知》（皖办发〔</w:t>
      </w:r>
      <w:r>
        <w:rPr>
          <w:rFonts w:ascii="宋体" w:hAnsi="宋体"/>
          <w:sz w:val="32"/>
          <w:szCs w:val="32"/>
        </w:rPr>
        <w:t>2017</w:t>
      </w:r>
      <w:r>
        <w:rPr>
          <w:rFonts w:ascii="宋体" w:hAnsi="宋体" w:hint="eastAsia"/>
          <w:sz w:val="32"/>
          <w:szCs w:val="32"/>
        </w:rPr>
        <w:t>〕</w:t>
      </w:r>
      <w:r>
        <w:rPr>
          <w:rFonts w:ascii="宋体" w:hAnsi="宋体"/>
          <w:sz w:val="32"/>
          <w:szCs w:val="32"/>
        </w:rPr>
        <w:t>21</w:t>
      </w:r>
      <w:r>
        <w:rPr>
          <w:rFonts w:ascii="宋体" w:hAnsi="宋体" w:hint="eastAsia"/>
          <w:sz w:val="32"/>
          <w:szCs w:val="32"/>
        </w:rPr>
        <w:t>号）要求，宿州市将组织开展“十三五”规划终期评估，形成评估报告，提交市人大常委会审议。</w:t>
      </w:r>
    </w:p>
    <w:p w:rsidR="00751F96" w:rsidRDefault="00751F96" w:rsidP="00751F96">
      <w:pPr>
        <w:spacing w:line="560" w:lineRule="exact"/>
        <w:ind w:hanging="20"/>
        <w:rPr>
          <w:b/>
          <w:sz w:val="32"/>
          <w:szCs w:val="32"/>
        </w:rPr>
      </w:pPr>
      <w:r>
        <w:rPr>
          <w:rFonts w:hint="eastAsia"/>
          <w:b/>
          <w:sz w:val="32"/>
          <w:szCs w:val="32"/>
        </w:rPr>
        <w:t>二、技术要求</w:t>
      </w:r>
    </w:p>
    <w:p w:rsidR="00751F96" w:rsidRDefault="00751F96" w:rsidP="00751F96">
      <w:pPr>
        <w:spacing w:line="560" w:lineRule="exact"/>
        <w:ind w:firstLineChars="200" w:firstLine="640"/>
        <w:rPr>
          <w:rFonts w:ascii="宋体"/>
          <w:sz w:val="32"/>
          <w:szCs w:val="32"/>
          <w:lang w:val="zh-TW"/>
        </w:rPr>
      </w:pPr>
      <w:r>
        <w:rPr>
          <w:rFonts w:ascii="宋体" w:hAnsi="宋体" w:hint="eastAsia"/>
          <w:sz w:val="32"/>
          <w:szCs w:val="32"/>
          <w:lang w:val="zh-TW"/>
        </w:rPr>
        <w:t>规划评估要按照</w:t>
      </w:r>
      <w:r>
        <w:rPr>
          <w:rFonts w:ascii="宋体" w:hAnsi="宋体" w:hint="eastAsia"/>
          <w:sz w:val="32"/>
          <w:szCs w:val="32"/>
        </w:rPr>
        <w:t>根据国家、省关于开展“十三五”规划终期评估工作的有关精神以及市委市政府具体部署</w:t>
      </w:r>
      <w:r>
        <w:rPr>
          <w:rFonts w:ascii="宋体" w:hAnsi="宋体" w:hint="eastAsia"/>
          <w:sz w:val="32"/>
          <w:szCs w:val="32"/>
          <w:lang w:val="zh-TW"/>
        </w:rPr>
        <w:t>要求，客观评价宿州市“十三五”规划实施取得的进展成效，深入剖析实施中出现的问题及原因，用以指导新阶段规划的编制和实施。系统总结宿州市经济社会发展情况，聚焦影响高质量发展的重点领域和关键环节，认真分析原因，提出调整建议。报告文本应内容全面、观点鲜明、数据真实、文字准确简练、图纸清晰完整等。</w:t>
      </w:r>
    </w:p>
    <w:p w:rsidR="00751F96" w:rsidRDefault="00751F96" w:rsidP="00751F96">
      <w:pPr>
        <w:spacing w:line="560" w:lineRule="exact"/>
        <w:ind w:firstLineChars="200" w:firstLine="640"/>
        <w:rPr>
          <w:b/>
          <w:sz w:val="32"/>
          <w:szCs w:val="32"/>
        </w:rPr>
      </w:pPr>
      <w:r>
        <w:rPr>
          <w:b/>
          <w:sz w:val="32"/>
          <w:szCs w:val="32"/>
        </w:rPr>
        <w:t>1.</w:t>
      </w:r>
      <w:r>
        <w:rPr>
          <w:rFonts w:hint="eastAsia"/>
          <w:b/>
          <w:sz w:val="32"/>
          <w:szCs w:val="32"/>
        </w:rPr>
        <w:t>全面建成小康社会主要目标完成情况及原因分析。</w:t>
      </w:r>
    </w:p>
    <w:p w:rsidR="00751F96" w:rsidRDefault="00751F96" w:rsidP="00751F96">
      <w:pPr>
        <w:spacing w:line="560" w:lineRule="exact"/>
        <w:ind w:firstLineChars="200" w:firstLine="640"/>
        <w:rPr>
          <w:rFonts w:ascii="宋体"/>
          <w:sz w:val="32"/>
          <w:szCs w:val="32"/>
          <w:lang w:val="zh-TW"/>
        </w:rPr>
      </w:pPr>
      <w:r>
        <w:rPr>
          <w:rFonts w:ascii="宋体" w:hAnsi="宋体" w:hint="eastAsia"/>
          <w:sz w:val="32"/>
          <w:szCs w:val="32"/>
          <w:lang w:val="zh-TW"/>
        </w:rPr>
        <w:lastRenderedPageBreak/>
        <w:t>（</w:t>
      </w:r>
      <w:r>
        <w:rPr>
          <w:rFonts w:ascii="宋体" w:hAnsi="宋体"/>
          <w:sz w:val="32"/>
          <w:szCs w:val="32"/>
          <w:lang w:val="zh-TW"/>
        </w:rPr>
        <w:t>1</w:t>
      </w:r>
      <w:r>
        <w:rPr>
          <w:rFonts w:ascii="宋体" w:hAnsi="宋体" w:hint="eastAsia"/>
          <w:sz w:val="32"/>
          <w:szCs w:val="32"/>
          <w:lang w:val="zh-TW"/>
        </w:rPr>
        <w:t>）主要指标完成情况。全面评估宿州市“十三五”规划确定的六个方面主要目标和</w:t>
      </w:r>
      <w:r>
        <w:rPr>
          <w:rFonts w:ascii="宋体" w:hAnsi="宋体"/>
          <w:sz w:val="32"/>
          <w:szCs w:val="32"/>
          <w:lang w:val="zh-TW"/>
        </w:rPr>
        <w:t>34</w:t>
      </w:r>
      <w:r>
        <w:rPr>
          <w:rFonts w:ascii="宋体" w:hAnsi="宋体" w:hint="eastAsia"/>
          <w:sz w:val="32"/>
          <w:szCs w:val="32"/>
          <w:lang w:val="zh-TW"/>
        </w:rPr>
        <w:t>项主要指标完成情况，特别是约束性指标和体现高质量发展指标的实现情况。</w:t>
      </w:r>
    </w:p>
    <w:p w:rsidR="00751F96" w:rsidRDefault="00751F96" w:rsidP="00751F96">
      <w:pPr>
        <w:spacing w:line="560" w:lineRule="exact"/>
        <w:ind w:firstLineChars="200" w:firstLine="640"/>
        <w:rPr>
          <w:rFonts w:ascii="宋体"/>
          <w:sz w:val="32"/>
          <w:szCs w:val="32"/>
          <w:lang w:val="zh-TW"/>
        </w:rPr>
      </w:pPr>
      <w:r>
        <w:rPr>
          <w:rFonts w:ascii="宋体" w:hAnsi="宋体" w:hint="eastAsia"/>
          <w:sz w:val="32"/>
          <w:szCs w:val="32"/>
          <w:lang w:val="zh-TW"/>
        </w:rPr>
        <w:t>（</w:t>
      </w:r>
      <w:r>
        <w:rPr>
          <w:rFonts w:ascii="宋体" w:hAnsi="宋体"/>
          <w:sz w:val="32"/>
          <w:szCs w:val="32"/>
          <w:lang w:val="zh-TW"/>
        </w:rPr>
        <w:t>2</w:t>
      </w:r>
      <w:r>
        <w:rPr>
          <w:rFonts w:ascii="宋体" w:hAnsi="宋体" w:hint="eastAsia"/>
          <w:sz w:val="32"/>
          <w:szCs w:val="32"/>
          <w:lang w:val="zh-TW"/>
        </w:rPr>
        <w:t>）主要指标完成情况原因分析。具体评估宿州市“十三五”规划确定的</w:t>
      </w:r>
      <w:r>
        <w:rPr>
          <w:rFonts w:ascii="宋体" w:hAnsi="宋体"/>
          <w:sz w:val="32"/>
          <w:szCs w:val="32"/>
          <w:lang w:val="zh-TW"/>
        </w:rPr>
        <w:t>34</w:t>
      </w:r>
      <w:r>
        <w:rPr>
          <w:rFonts w:ascii="宋体" w:hAnsi="宋体" w:hint="eastAsia"/>
          <w:sz w:val="32"/>
          <w:szCs w:val="32"/>
          <w:lang w:val="zh-TW"/>
        </w:rPr>
        <w:t>项指标完成情况，并分析原因。</w:t>
      </w:r>
    </w:p>
    <w:p w:rsidR="00751F96" w:rsidRDefault="00751F96" w:rsidP="00751F96">
      <w:pPr>
        <w:spacing w:line="560" w:lineRule="exact"/>
        <w:ind w:firstLineChars="200" w:firstLine="640"/>
        <w:rPr>
          <w:b/>
          <w:sz w:val="32"/>
          <w:szCs w:val="32"/>
        </w:rPr>
      </w:pPr>
      <w:r>
        <w:rPr>
          <w:b/>
          <w:sz w:val="32"/>
          <w:szCs w:val="32"/>
        </w:rPr>
        <w:t>2.</w:t>
      </w:r>
      <w:r>
        <w:rPr>
          <w:rFonts w:hint="eastAsia"/>
          <w:b/>
          <w:sz w:val="32"/>
          <w:szCs w:val="32"/>
        </w:rPr>
        <w:t>新发展理念贯彻落实情况。</w:t>
      </w:r>
    </w:p>
    <w:p w:rsidR="00751F96" w:rsidRDefault="00751F96" w:rsidP="00751F96">
      <w:pPr>
        <w:spacing w:line="560" w:lineRule="exact"/>
        <w:ind w:firstLineChars="200" w:firstLine="640"/>
        <w:rPr>
          <w:rFonts w:eastAsia="仿宋_GB2312"/>
          <w:sz w:val="32"/>
          <w:szCs w:val="32"/>
          <w:lang w:val="zh-TW"/>
        </w:rPr>
      </w:pPr>
      <w:r>
        <w:rPr>
          <w:rFonts w:ascii="宋体" w:hAnsi="宋体" w:hint="eastAsia"/>
          <w:sz w:val="32"/>
          <w:szCs w:val="32"/>
          <w:lang w:val="zh-TW"/>
        </w:rPr>
        <w:t>重点评估贯彻新发展理念、转变发展方式的进展情况，特别是新发展理念作为具有内在联系的集合体的统一贯彻落实情况。</w:t>
      </w:r>
    </w:p>
    <w:p w:rsidR="00751F96" w:rsidRDefault="00751F96" w:rsidP="00751F96">
      <w:pPr>
        <w:spacing w:line="560" w:lineRule="exact"/>
        <w:ind w:firstLineChars="200" w:firstLine="640"/>
        <w:rPr>
          <w:b/>
          <w:sz w:val="32"/>
          <w:szCs w:val="32"/>
        </w:rPr>
      </w:pPr>
      <w:r>
        <w:rPr>
          <w:b/>
          <w:sz w:val="32"/>
          <w:szCs w:val="32"/>
        </w:rPr>
        <w:t>3.</w:t>
      </w:r>
      <w:r>
        <w:rPr>
          <w:rFonts w:hint="eastAsia"/>
          <w:b/>
          <w:sz w:val="32"/>
          <w:szCs w:val="32"/>
        </w:rPr>
        <w:t>战略任务实施进展情况。</w:t>
      </w:r>
    </w:p>
    <w:p w:rsidR="00751F96" w:rsidRDefault="00751F96" w:rsidP="00751F96">
      <w:pPr>
        <w:spacing w:line="560" w:lineRule="exact"/>
        <w:ind w:firstLineChars="200" w:firstLine="640"/>
        <w:rPr>
          <w:rFonts w:eastAsia="仿宋_GB2312"/>
          <w:sz w:val="32"/>
          <w:szCs w:val="32"/>
          <w:lang w:val="zh-TW"/>
        </w:rPr>
      </w:pPr>
      <w:r>
        <w:rPr>
          <w:rFonts w:ascii="宋体" w:hAnsi="宋体" w:hint="eastAsia"/>
          <w:sz w:val="32"/>
          <w:szCs w:val="32"/>
          <w:lang w:val="zh-TW"/>
        </w:rPr>
        <w:t>全面评估宿州市“十三五”规划确定的战略任务实施进展与成效，重点评估规划实施中贯彻落实科教兴市、人才强市、创新驱动发展、乡村振兴、区域协调发展、可持续发展、军民融合发展等重大战略情况，以及系统推进全创改、建立现代产业新体系、现代农业、信息经济、新型城镇化、基础设施、区域协同、生态立市、开放活市、人民福祉、精神文明、社会治理、民主法治等重大任务落实情况，并进行整体分析评价。</w:t>
      </w:r>
    </w:p>
    <w:p w:rsidR="00751F96" w:rsidRDefault="00751F96" w:rsidP="00751F96">
      <w:pPr>
        <w:spacing w:line="560" w:lineRule="exact"/>
        <w:ind w:firstLineChars="200" w:firstLine="640"/>
        <w:rPr>
          <w:b/>
          <w:sz w:val="32"/>
          <w:szCs w:val="32"/>
        </w:rPr>
      </w:pPr>
      <w:r>
        <w:rPr>
          <w:b/>
          <w:sz w:val="32"/>
          <w:szCs w:val="32"/>
        </w:rPr>
        <w:t>4.</w:t>
      </w:r>
      <w:r>
        <w:rPr>
          <w:rFonts w:hint="eastAsia"/>
          <w:b/>
          <w:sz w:val="32"/>
          <w:szCs w:val="32"/>
        </w:rPr>
        <w:t>重大改革任务推进情况。</w:t>
      </w:r>
    </w:p>
    <w:p w:rsidR="00751F96" w:rsidRDefault="00751F96" w:rsidP="00751F96">
      <w:pPr>
        <w:spacing w:line="560" w:lineRule="exact"/>
        <w:ind w:firstLineChars="200" w:firstLine="640"/>
        <w:rPr>
          <w:rFonts w:eastAsia="仿宋_GB2312"/>
          <w:sz w:val="32"/>
          <w:szCs w:val="32"/>
          <w:lang w:val="zh-TW"/>
        </w:rPr>
      </w:pPr>
      <w:r>
        <w:rPr>
          <w:rFonts w:ascii="宋体" w:hAnsi="宋体" w:hint="eastAsia"/>
          <w:sz w:val="32"/>
          <w:szCs w:val="32"/>
          <w:lang w:val="zh-TW"/>
        </w:rPr>
        <w:t>重点评估通过持续深化供给侧结构性改革，推动经济发展质量变革、效率变革、动力变革，以及深化户籍制度改革、加快基本公共服务供给制度改革、深化农村综合体</w:t>
      </w:r>
      <w:r>
        <w:rPr>
          <w:rFonts w:ascii="宋体" w:hAnsi="宋体" w:hint="eastAsia"/>
          <w:sz w:val="32"/>
          <w:szCs w:val="32"/>
          <w:lang w:val="zh-TW"/>
        </w:rPr>
        <w:lastRenderedPageBreak/>
        <w:t>制改革、深化行政管理体制改革、深化经济管理体制改革等构建发展新体制的进展情况。</w:t>
      </w:r>
    </w:p>
    <w:p w:rsidR="00751F96" w:rsidRDefault="00751F96" w:rsidP="00751F96">
      <w:pPr>
        <w:spacing w:line="560" w:lineRule="exact"/>
        <w:ind w:firstLineChars="200" w:firstLine="640"/>
        <w:rPr>
          <w:b/>
          <w:sz w:val="32"/>
          <w:szCs w:val="32"/>
        </w:rPr>
      </w:pPr>
      <w:r>
        <w:rPr>
          <w:b/>
          <w:sz w:val="32"/>
          <w:szCs w:val="32"/>
        </w:rPr>
        <w:t>5.</w:t>
      </w:r>
      <w:r>
        <w:rPr>
          <w:rFonts w:hint="eastAsia"/>
          <w:b/>
          <w:sz w:val="32"/>
          <w:szCs w:val="32"/>
        </w:rPr>
        <w:t>三大攻坚战推进落实情况。</w:t>
      </w:r>
    </w:p>
    <w:p w:rsidR="00751F96" w:rsidRDefault="00751F96" w:rsidP="00751F96">
      <w:pPr>
        <w:spacing w:line="560" w:lineRule="exact"/>
        <w:ind w:firstLineChars="200" w:firstLine="640"/>
        <w:rPr>
          <w:rFonts w:ascii="宋体"/>
          <w:sz w:val="32"/>
          <w:szCs w:val="32"/>
          <w:lang w:val="zh-TW"/>
        </w:rPr>
      </w:pPr>
      <w:r>
        <w:rPr>
          <w:rFonts w:ascii="宋体" w:hAnsi="宋体" w:hint="eastAsia"/>
          <w:sz w:val="32"/>
          <w:szCs w:val="32"/>
          <w:lang w:val="zh-TW"/>
        </w:rPr>
        <w:t>重点评估防范化解金融、地方债、房地产、实体经济、僵尸企业等重大风险，脱贫攻坚十大工程，以及大气、水、土壤等污染防治攻坚战推进情况，突出薄弱环节和关键领域的集中攻关进展情况。</w:t>
      </w:r>
    </w:p>
    <w:p w:rsidR="00751F96" w:rsidRDefault="00751F96" w:rsidP="00751F96">
      <w:pPr>
        <w:spacing w:line="560" w:lineRule="exact"/>
        <w:ind w:firstLineChars="200" w:firstLine="640"/>
        <w:rPr>
          <w:b/>
          <w:sz w:val="32"/>
          <w:szCs w:val="32"/>
        </w:rPr>
      </w:pPr>
      <w:r>
        <w:rPr>
          <w:b/>
          <w:sz w:val="32"/>
          <w:szCs w:val="32"/>
        </w:rPr>
        <w:t>6</w:t>
      </w:r>
      <w:r>
        <w:rPr>
          <w:rFonts w:hint="eastAsia"/>
          <w:b/>
          <w:sz w:val="32"/>
          <w:szCs w:val="32"/>
        </w:rPr>
        <w:t>、重大工程项目进展情况。</w:t>
      </w:r>
    </w:p>
    <w:p w:rsidR="00751F96" w:rsidRDefault="00751F96" w:rsidP="00751F96">
      <w:pPr>
        <w:spacing w:line="560" w:lineRule="exact"/>
        <w:ind w:firstLineChars="200" w:firstLine="640"/>
        <w:rPr>
          <w:rFonts w:ascii="宋体"/>
          <w:sz w:val="32"/>
          <w:szCs w:val="32"/>
          <w:lang w:val="zh-TW"/>
        </w:rPr>
      </w:pPr>
      <w:r>
        <w:rPr>
          <w:rFonts w:ascii="宋体" w:hAnsi="宋体" w:hint="eastAsia"/>
          <w:sz w:val="32"/>
          <w:szCs w:val="32"/>
          <w:lang w:val="zh-TW"/>
        </w:rPr>
        <w:t>重点评估宿州市“十三五”规划纲要中</w:t>
      </w:r>
      <w:r>
        <w:rPr>
          <w:rFonts w:ascii="宋体" w:hAnsi="宋体"/>
          <w:sz w:val="32"/>
          <w:szCs w:val="32"/>
          <w:lang w:val="zh-TW"/>
        </w:rPr>
        <w:t>19</w:t>
      </w:r>
      <w:r>
        <w:rPr>
          <w:rFonts w:ascii="宋体" w:hAnsi="宋体" w:hint="eastAsia"/>
          <w:sz w:val="32"/>
          <w:szCs w:val="32"/>
          <w:lang w:val="zh-TW"/>
        </w:rPr>
        <w:t>个专栏涉及的重大项目实施进展情况。包括取得的成效、存在的问题、下步意见建议等。</w:t>
      </w:r>
    </w:p>
    <w:p w:rsidR="00751F96" w:rsidRDefault="00751F96" w:rsidP="00751F96">
      <w:pPr>
        <w:spacing w:line="560" w:lineRule="exact"/>
        <w:ind w:firstLineChars="200" w:firstLine="640"/>
        <w:rPr>
          <w:b/>
          <w:sz w:val="32"/>
          <w:szCs w:val="32"/>
        </w:rPr>
      </w:pPr>
      <w:r>
        <w:rPr>
          <w:b/>
          <w:sz w:val="32"/>
          <w:szCs w:val="32"/>
        </w:rPr>
        <w:t>7.</w:t>
      </w:r>
      <w:r>
        <w:rPr>
          <w:rFonts w:hint="eastAsia"/>
          <w:b/>
          <w:sz w:val="32"/>
          <w:szCs w:val="32"/>
        </w:rPr>
        <w:t>评估规划实施过程中存在的薄弱环节和突出问题。</w:t>
      </w:r>
    </w:p>
    <w:p w:rsidR="00751F96" w:rsidRDefault="00751F96" w:rsidP="00751F96">
      <w:pPr>
        <w:spacing w:line="560" w:lineRule="exact"/>
        <w:ind w:firstLineChars="200" w:firstLine="640"/>
        <w:rPr>
          <w:rFonts w:eastAsia="仿宋_GB2312"/>
          <w:sz w:val="32"/>
          <w:szCs w:val="32"/>
          <w:lang w:val="zh-TW"/>
        </w:rPr>
      </w:pPr>
      <w:r>
        <w:rPr>
          <w:rFonts w:ascii="宋体" w:hAnsi="宋体" w:hint="eastAsia"/>
          <w:sz w:val="32"/>
          <w:szCs w:val="32"/>
          <w:lang w:val="zh-TW"/>
        </w:rPr>
        <w:t>重点评估规划落实过程中存在的薄弱环节和突出问题，并分析原因。</w:t>
      </w:r>
    </w:p>
    <w:p w:rsidR="00751F96" w:rsidRDefault="00751F96" w:rsidP="00751F96">
      <w:pPr>
        <w:spacing w:line="560" w:lineRule="exact"/>
        <w:ind w:firstLineChars="200" w:firstLine="640"/>
        <w:rPr>
          <w:b/>
          <w:sz w:val="32"/>
          <w:szCs w:val="32"/>
        </w:rPr>
      </w:pPr>
      <w:r>
        <w:rPr>
          <w:b/>
          <w:sz w:val="32"/>
          <w:szCs w:val="32"/>
        </w:rPr>
        <w:t>8.</w:t>
      </w:r>
      <w:r>
        <w:rPr>
          <w:rFonts w:hint="eastAsia"/>
          <w:b/>
          <w:sz w:val="32"/>
          <w:szCs w:val="32"/>
        </w:rPr>
        <w:t>形势展望和主要指标预测。</w:t>
      </w:r>
    </w:p>
    <w:p w:rsidR="00751F96" w:rsidRDefault="00751F96" w:rsidP="00751F96">
      <w:pPr>
        <w:spacing w:line="560" w:lineRule="exact"/>
        <w:ind w:firstLineChars="200" w:firstLine="640"/>
        <w:rPr>
          <w:rFonts w:ascii="宋体"/>
          <w:sz w:val="32"/>
          <w:szCs w:val="32"/>
          <w:lang w:val="zh-TW"/>
        </w:rPr>
      </w:pPr>
      <w:r>
        <w:rPr>
          <w:rFonts w:ascii="宋体" w:hAnsi="宋体" w:hint="eastAsia"/>
          <w:sz w:val="32"/>
          <w:szCs w:val="32"/>
          <w:lang w:val="zh-TW"/>
        </w:rPr>
        <w:t>总结内外部环境的深刻变化，展望全市经济社会发展即将面临的更为错综复杂的形势，并对主要指标进行科学预测，深入研究论证是否需要对指标进行调整。</w:t>
      </w:r>
    </w:p>
    <w:p w:rsidR="00751F96" w:rsidRDefault="00751F96" w:rsidP="00751F96">
      <w:pPr>
        <w:spacing w:line="560" w:lineRule="exact"/>
        <w:ind w:firstLineChars="200" w:firstLine="640"/>
        <w:rPr>
          <w:rFonts w:eastAsia="楷体_GB2312"/>
          <w:b/>
          <w:sz w:val="32"/>
          <w:szCs w:val="32"/>
        </w:rPr>
      </w:pPr>
      <w:r>
        <w:rPr>
          <w:b/>
          <w:sz w:val="32"/>
          <w:szCs w:val="32"/>
        </w:rPr>
        <w:t>9.</w:t>
      </w:r>
      <w:r>
        <w:rPr>
          <w:rFonts w:hint="eastAsia"/>
          <w:b/>
          <w:sz w:val="32"/>
          <w:szCs w:val="32"/>
        </w:rPr>
        <w:t>规划思路调整和对策措施。</w:t>
      </w:r>
    </w:p>
    <w:p w:rsidR="00751F96" w:rsidRDefault="00751F96" w:rsidP="00751F96">
      <w:pPr>
        <w:spacing w:line="560" w:lineRule="exact"/>
        <w:ind w:firstLineChars="200" w:firstLine="640"/>
        <w:rPr>
          <w:rFonts w:ascii="宋体"/>
          <w:sz w:val="32"/>
          <w:szCs w:val="32"/>
          <w:lang w:val="zh-TW"/>
        </w:rPr>
      </w:pPr>
      <w:r>
        <w:rPr>
          <w:rFonts w:ascii="宋体" w:hAnsi="宋体" w:hint="eastAsia"/>
          <w:sz w:val="32"/>
          <w:szCs w:val="32"/>
          <w:lang w:val="zh-TW"/>
        </w:rPr>
        <w:t>根据新的发展形势，总结“十三五”实施的经验教训，不断调整优化规划思路，研提对策措施，按需对规划重大</w:t>
      </w:r>
      <w:r>
        <w:rPr>
          <w:rFonts w:ascii="宋体" w:hAnsi="宋体" w:hint="eastAsia"/>
          <w:sz w:val="32"/>
          <w:szCs w:val="32"/>
          <w:lang w:val="zh-TW"/>
        </w:rPr>
        <w:lastRenderedPageBreak/>
        <w:t>战略、重要任务等内容进行调整修订，着力增强规划的前瞻性、战略性和引领性。</w:t>
      </w:r>
    </w:p>
    <w:p w:rsidR="00751F96" w:rsidRPr="005B69B4" w:rsidRDefault="00751F96" w:rsidP="00751F96">
      <w:pPr>
        <w:spacing w:line="560" w:lineRule="exact"/>
        <w:ind w:firstLineChars="200" w:firstLine="640"/>
        <w:rPr>
          <w:rFonts w:ascii="宋体" w:hAnsi="宋体"/>
          <w:b/>
          <w:sz w:val="32"/>
          <w:szCs w:val="32"/>
          <w:lang w:val="zh-TW"/>
        </w:rPr>
      </w:pPr>
      <w:r w:rsidRPr="005B69B4">
        <w:rPr>
          <w:rFonts w:ascii="宋体" w:hAnsi="宋体" w:hint="eastAsia"/>
          <w:b/>
          <w:sz w:val="32"/>
          <w:szCs w:val="32"/>
          <w:lang w:val="zh-TW"/>
        </w:rPr>
        <w:t>最终提交的成果需通过专家咨询论证，评审相关费用由中标单位承担，投标供应商在报价时需考虑此项费用。</w:t>
      </w:r>
    </w:p>
    <w:p w:rsidR="00751F96" w:rsidRDefault="00751F96" w:rsidP="00751F96">
      <w:pPr>
        <w:pStyle w:val="H2"/>
        <w:rPr>
          <w:color w:val="auto"/>
        </w:rPr>
      </w:pPr>
      <w:r>
        <w:rPr>
          <w:color w:val="auto"/>
        </w:rPr>
        <w:br w:type="page"/>
      </w:r>
      <w:bookmarkStart w:id="3" w:name="_Toc511899299"/>
      <w:bookmarkStart w:id="4" w:name="_Toc4562"/>
      <w:bookmarkEnd w:id="3"/>
      <w:r>
        <w:rPr>
          <w:rFonts w:hint="eastAsia"/>
          <w:color w:val="auto"/>
        </w:rPr>
        <w:lastRenderedPageBreak/>
        <w:t>二、商务要求</w:t>
      </w:r>
      <w:bookmarkEnd w:id="4"/>
    </w:p>
    <w:p w:rsidR="00751F96" w:rsidRDefault="00751F96" w:rsidP="00751F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1454"/>
        <w:gridCol w:w="6436"/>
      </w:tblGrid>
      <w:tr w:rsidR="00751F96" w:rsidTr="00077F54">
        <w:tc>
          <w:tcPr>
            <w:tcW w:w="639" w:type="dxa"/>
            <w:vAlign w:val="center"/>
          </w:tcPr>
          <w:p w:rsidR="00751F96" w:rsidRDefault="00751F96" w:rsidP="00077F54">
            <w:pPr>
              <w:jc w:val="center"/>
              <w:rPr>
                <w:rFonts w:ascii="宋体"/>
                <w:b/>
                <w:bCs/>
              </w:rPr>
            </w:pPr>
            <w:r>
              <w:rPr>
                <w:rFonts w:ascii="宋体" w:hAnsi="宋体" w:hint="eastAsia"/>
                <w:b/>
                <w:bCs/>
              </w:rPr>
              <w:t>序号</w:t>
            </w:r>
          </w:p>
        </w:tc>
        <w:tc>
          <w:tcPr>
            <w:tcW w:w="1454" w:type="dxa"/>
            <w:tcBorders>
              <w:left w:val="nil"/>
            </w:tcBorders>
          </w:tcPr>
          <w:p w:rsidR="00751F96" w:rsidRDefault="00751F96" w:rsidP="00077F54">
            <w:pPr>
              <w:rPr>
                <w:rFonts w:ascii="宋体"/>
                <w:b/>
                <w:bCs/>
              </w:rPr>
            </w:pPr>
            <w:r>
              <w:rPr>
                <w:rFonts w:ascii="宋体" w:hAnsi="宋体" w:hint="eastAsia"/>
                <w:b/>
                <w:bCs/>
              </w:rPr>
              <w:t>内容</w:t>
            </w:r>
          </w:p>
        </w:tc>
        <w:tc>
          <w:tcPr>
            <w:tcW w:w="6436" w:type="dxa"/>
            <w:tcBorders>
              <w:left w:val="nil"/>
            </w:tcBorders>
          </w:tcPr>
          <w:p w:rsidR="00751F96" w:rsidRDefault="00751F96" w:rsidP="00751F96">
            <w:pPr>
              <w:ind w:firstLineChars="1268" w:firstLine="2790"/>
              <w:rPr>
                <w:rFonts w:ascii="宋体"/>
                <w:b/>
                <w:bCs/>
              </w:rPr>
            </w:pPr>
            <w:r>
              <w:rPr>
                <w:rFonts w:ascii="宋体" w:hAnsi="宋体" w:hint="eastAsia"/>
                <w:b/>
                <w:bCs/>
              </w:rPr>
              <w:t>要求</w:t>
            </w:r>
          </w:p>
        </w:tc>
      </w:tr>
      <w:tr w:rsidR="00751F96" w:rsidTr="00077F54">
        <w:tc>
          <w:tcPr>
            <w:tcW w:w="639" w:type="dxa"/>
            <w:vAlign w:val="center"/>
          </w:tcPr>
          <w:p w:rsidR="00751F96" w:rsidRDefault="00751F96" w:rsidP="00077F54">
            <w:pPr>
              <w:jc w:val="center"/>
              <w:rPr>
                <w:rFonts w:ascii="宋体"/>
                <w:b/>
                <w:bCs/>
              </w:rPr>
            </w:pPr>
            <w:r>
              <w:rPr>
                <w:rFonts w:ascii="宋体" w:hAnsi="宋体"/>
                <w:b/>
                <w:bCs/>
              </w:rPr>
              <w:t>1</w:t>
            </w:r>
          </w:p>
        </w:tc>
        <w:tc>
          <w:tcPr>
            <w:tcW w:w="1454" w:type="dxa"/>
            <w:tcBorders>
              <w:left w:val="nil"/>
            </w:tcBorders>
            <w:vAlign w:val="center"/>
          </w:tcPr>
          <w:p w:rsidR="00751F96" w:rsidRDefault="00751F96" w:rsidP="00077F54">
            <w:pPr>
              <w:jc w:val="center"/>
              <w:rPr>
                <w:rFonts w:ascii="宋体"/>
                <w:b/>
                <w:bCs/>
              </w:rPr>
            </w:pPr>
            <w:r>
              <w:rPr>
                <w:rFonts w:ascii="宋体" w:hAnsi="宋体" w:hint="eastAsia"/>
                <w:b/>
                <w:bCs/>
              </w:rPr>
              <w:t>质保期</w:t>
            </w:r>
          </w:p>
        </w:tc>
        <w:tc>
          <w:tcPr>
            <w:tcW w:w="6436" w:type="dxa"/>
            <w:tcBorders>
              <w:left w:val="nil"/>
            </w:tcBorders>
          </w:tcPr>
          <w:p w:rsidR="00751F96" w:rsidRDefault="00751F96" w:rsidP="00077F54">
            <w:pPr>
              <w:rPr>
                <w:rFonts w:ascii="宋体"/>
                <w:b/>
                <w:bCs/>
              </w:rPr>
            </w:pPr>
            <w:r>
              <w:rPr>
                <w:rFonts w:ascii="宋体" w:hAnsi="宋体"/>
                <w:b/>
                <w:bCs/>
              </w:rPr>
              <w:t xml:space="preserve">      /</w:t>
            </w:r>
          </w:p>
        </w:tc>
      </w:tr>
      <w:tr w:rsidR="00751F96" w:rsidTr="00077F54">
        <w:trPr>
          <w:trHeight w:val="629"/>
        </w:trPr>
        <w:tc>
          <w:tcPr>
            <w:tcW w:w="639" w:type="dxa"/>
            <w:vMerge w:val="restart"/>
            <w:vAlign w:val="center"/>
          </w:tcPr>
          <w:p w:rsidR="00751F96" w:rsidRDefault="00751F96" w:rsidP="00077F54">
            <w:pPr>
              <w:jc w:val="center"/>
              <w:rPr>
                <w:rFonts w:ascii="宋体"/>
                <w:b/>
                <w:bCs/>
              </w:rPr>
            </w:pPr>
            <w:r>
              <w:rPr>
                <w:rFonts w:ascii="宋体" w:hAnsi="宋体"/>
                <w:b/>
                <w:bCs/>
              </w:rPr>
              <w:t>2</w:t>
            </w:r>
          </w:p>
        </w:tc>
        <w:tc>
          <w:tcPr>
            <w:tcW w:w="1454" w:type="dxa"/>
            <w:tcBorders>
              <w:left w:val="nil"/>
            </w:tcBorders>
            <w:vAlign w:val="center"/>
          </w:tcPr>
          <w:p w:rsidR="00751F96" w:rsidRDefault="00751F96" w:rsidP="00077F54">
            <w:pPr>
              <w:jc w:val="center"/>
              <w:rPr>
                <w:rFonts w:ascii="宋体"/>
                <w:b/>
                <w:bCs/>
              </w:rPr>
            </w:pPr>
            <w:r>
              <w:rPr>
                <w:rFonts w:ascii="宋体" w:hAnsi="宋体" w:hint="eastAsia"/>
                <w:b/>
                <w:bCs/>
              </w:rPr>
              <w:t>供货要求</w:t>
            </w:r>
          </w:p>
          <w:p w:rsidR="00751F96" w:rsidRDefault="00751F96" w:rsidP="00077F54">
            <w:pPr>
              <w:jc w:val="center"/>
              <w:rPr>
                <w:rFonts w:ascii="宋体"/>
                <w:b/>
                <w:bCs/>
              </w:rPr>
            </w:pPr>
            <w:r>
              <w:rPr>
                <w:rFonts w:ascii="宋体" w:hAnsi="宋体" w:hint="eastAsia"/>
                <w:b/>
                <w:bCs/>
              </w:rPr>
              <w:t>（货物类）</w:t>
            </w:r>
          </w:p>
        </w:tc>
        <w:tc>
          <w:tcPr>
            <w:tcW w:w="6436" w:type="dxa"/>
            <w:tcBorders>
              <w:left w:val="nil"/>
            </w:tcBorders>
          </w:tcPr>
          <w:p w:rsidR="00751F96" w:rsidRDefault="00751F96" w:rsidP="00077F54">
            <w:pPr>
              <w:rPr>
                <w:rFonts w:ascii="宋体"/>
                <w:b/>
                <w:bCs/>
              </w:rPr>
            </w:pPr>
            <w:r>
              <w:rPr>
                <w:rFonts w:ascii="宋体" w:hAnsi="宋体"/>
                <w:b/>
                <w:bCs/>
              </w:rPr>
              <w:t xml:space="preserve">    /</w:t>
            </w:r>
          </w:p>
        </w:tc>
      </w:tr>
      <w:tr w:rsidR="00751F96" w:rsidTr="00077F54">
        <w:tc>
          <w:tcPr>
            <w:tcW w:w="639" w:type="dxa"/>
            <w:vMerge/>
            <w:vAlign w:val="center"/>
          </w:tcPr>
          <w:p w:rsidR="00751F96" w:rsidRDefault="00751F96" w:rsidP="00077F54">
            <w:pPr>
              <w:jc w:val="center"/>
              <w:rPr>
                <w:rFonts w:ascii="宋体"/>
                <w:b/>
                <w:bCs/>
              </w:rPr>
            </w:pPr>
          </w:p>
        </w:tc>
        <w:tc>
          <w:tcPr>
            <w:tcW w:w="1454" w:type="dxa"/>
            <w:tcBorders>
              <w:left w:val="nil"/>
            </w:tcBorders>
            <w:vAlign w:val="center"/>
          </w:tcPr>
          <w:p w:rsidR="00751F96" w:rsidRDefault="00751F96" w:rsidP="00077F54">
            <w:pPr>
              <w:jc w:val="center"/>
              <w:rPr>
                <w:rFonts w:ascii="宋体"/>
                <w:b/>
                <w:bCs/>
              </w:rPr>
            </w:pPr>
            <w:r>
              <w:rPr>
                <w:rFonts w:ascii="宋体" w:hAnsi="宋体" w:hint="eastAsia"/>
                <w:b/>
                <w:bCs/>
              </w:rPr>
              <w:t>服务期限</w:t>
            </w:r>
          </w:p>
          <w:p w:rsidR="00751F96" w:rsidRDefault="00751F96" w:rsidP="00077F54">
            <w:pPr>
              <w:jc w:val="center"/>
              <w:rPr>
                <w:rFonts w:ascii="宋体"/>
                <w:b/>
                <w:bCs/>
              </w:rPr>
            </w:pPr>
            <w:r>
              <w:rPr>
                <w:rFonts w:ascii="宋体" w:hAnsi="宋体" w:hint="eastAsia"/>
                <w:b/>
                <w:bCs/>
              </w:rPr>
              <w:t>（服务类）</w:t>
            </w:r>
          </w:p>
        </w:tc>
        <w:tc>
          <w:tcPr>
            <w:tcW w:w="6436" w:type="dxa"/>
            <w:tcBorders>
              <w:left w:val="nil"/>
            </w:tcBorders>
          </w:tcPr>
          <w:p w:rsidR="00751F96" w:rsidRDefault="00751F96" w:rsidP="00077F54">
            <w:pPr>
              <w:rPr>
                <w:rFonts w:ascii="宋体"/>
                <w:b/>
                <w:bCs/>
              </w:rPr>
            </w:pPr>
            <w:r>
              <w:rPr>
                <w:rFonts w:ascii="宋体" w:hAnsi="宋体" w:hint="eastAsia"/>
                <w:b/>
                <w:bCs/>
              </w:rPr>
              <w:t>自合同签订后</w:t>
            </w:r>
            <w:r>
              <w:rPr>
                <w:rFonts w:ascii="宋体" w:hAnsi="宋体"/>
                <w:b/>
                <w:bCs/>
              </w:rPr>
              <w:t>180</w:t>
            </w:r>
            <w:r>
              <w:rPr>
                <w:rFonts w:ascii="宋体" w:hAnsi="宋体" w:hint="eastAsia"/>
                <w:b/>
                <w:bCs/>
              </w:rPr>
              <w:t>日历天提交最终成果</w:t>
            </w:r>
          </w:p>
        </w:tc>
      </w:tr>
      <w:tr w:rsidR="00751F96" w:rsidTr="00077F54">
        <w:tc>
          <w:tcPr>
            <w:tcW w:w="639" w:type="dxa"/>
            <w:vMerge/>
            <w:vAlign w:val="center"/>
          </w:tcPr>
          <w:p w:rsidR="00751F96" w:rsidRDefault="00751F96" w:rsidP="00077F54">
            <w:pPr>
              <w:jc w:val="center"/>
              <w:rPr>
                <w:rFonts w:ascii="宋体"/>
                <w:b/>
                <w:bCs/>
              </w:rPr>
            </w:pPr>
          </w:p>
        </w:tc>
        <w:tc>
          <w:tcPr>
            <w:tcW w:w="1454" w:type="dxa"/>
            <w:tcBorders>
              <w:left w:val="nil"/>
            </w:tcBorders>
            <w:vAlign w:val="center"/>
          </w:tcPr>
          <w:p w:rsidR="00751F96" w:rsidRDefault="00751F96" w:rsidP="00077F54">
            <w:pPr>
              <w:jc w:val="center"/>
              <w:rPr>
                <w:rFonts w:ascii="宋体"/>
                <w:b/>
                <w:bCs/>
              </w:rPr>
            </w:pPr>
            <w:r>
              <w:rPr>
                <w:rFonts w:ascii="宋体" w:hAnsi="宋体" w:hint="eastAsia"/>
                <w:b/>
                <w:bCs/>
              </w:rPr>
              <w:t>要求工期</w:t>
            </w:r>
          </w:p>
          <w:p w:rsidR="00751F96" w:rsidRDefault="00751F96" w:rsidP="00077F54">
            <w:pPr>
              <w:jc w:val="center"/>
              <w:rPr>
                <w:rFonts w:ascii="宋体"/>
                <w:b/>
                <w:bCs/>
              </w:rPr>
            </w:pPr>
            <w:r>
              <w:rPr>
                <w:rFonts w:ascii="宋体" w:hAnsi="宋体" w:hint="eastAsia"/>
                <w:b/>
                <w:bCs/>
              </w:rPr>
              <w:t>（工程类）</w:t>
            </w:r>
          </w:p>
        </w:tc>
        <w:tc>
          <w:tcPr>
            <w:tcW w:w="6436" w:type="dxa"/>
            <w:tcBorders>
              <w:left w:val="nil"/>
            </w:tcBorders>
          </w:tcPr>
          <w:p w:rsidR="00751F96" w:rsidRDefault="00751F96" w:rsidP="00077F54">
            <w:pPr>
              <w:jc w:val="center"/>
              <w:rPr>
                <w:rFonts w:ascii="宋体"/>
                <w:b/>
                <w:bCs/>
              </w:rPr>
            </w:pPr>
            <w:r>
              <w:rPr>
                <w:rFonts w:ascii="宋体" w:hAnsi="宋体"/>
                <w:b/>
                <w:bCs/>
              </w:rPr>
              <w:t>/</w:t>
            </w:r>
          </w:p>
        </w:tc>
      </w:tr>
      <w:tr w:rsidR="00751F96" w:rsidTr="00077F54">
        <w:tc>
          <w:tcPr>
            <w:tcW w:w="639" w:type="dxa"/>
            <w:vAlign w:val="center"/>
          </w:tcPr>
          <w:p w:rsidR="00751F96" w:rsidRDefault="00751F96" w:rsidP="00077F54">
            <w:pPr>
              <w:jc w:val="center"/>
              <w:rPr>
                <w:rFonts w:ascii="宋体"/>
                <w:b/>
                <w:bCs/>
              </w:rPr>
            </w:pPr>
            <w:r>
              <w:rPr>
                <w:rFonts w:ascii="宋体" w:hAnsi="宋体"/>
                <w:b/>
                <w:bCs/>
              </w:rPr>
              <w:t>3</w:t>
            </w:r>
          </w:p>
        </w:tc>
        <w:tc>
          <w:tcPr>
            <w:tcW w:w="1454" w:type="dxa"/>
            <w:tcBorders>
              <w:left w:val="nil"/>
            </w:tcBorders>
            <w:vAlign w:val="center"/>
          </w:tcPr>
          <w:p w:rsidR="00751F96" w:rsidRDefault="00751F96" w:rsidP="00077F54">
            <w:pPr>
              <w:jc w:val="center"/>
              <w:rPr>
                <w:rFonts w:ascii="宋体"/>
                <w:b/>
                <w:bCs/>
              </w:rPr>
            </w:pPr>
            <w:r>
              <w:rPr>
                <w:rFonts w:ascii="宋体" w:hAnsi="宋体" w:hint="eastAsia"/>
                <w:b/>
                <w:bCs/>
              </w:rPr>
              <w:t>售后服务</w:t>
            </w:r>
          </w:p>
        </w:tc>
        <w:tc>
          <w:tcPr>
            <w:tcW w:w="6436" w:type="dxa"/>
            <w:tcBorders>
              <w:left w:val="nil"/>
            </w:tcBorders>
          </w:tcPr>
          <w:p w:rsidR="00751F96" w:rsidRDefault="00751F96" w:rsidP="00077F54">
            <w:pPr>
              <w:jc w:val="center"/>
              <w:rPr>
                <w:rFonts w:ascii="宋体"/>
                <w:b/>
                <w:bCs/>
              </w:rPr>
            </w:pPr>
            <w:r>
              <w:rPr>
                <w:rFonts w:ascii="宋体" w:hAnsi="宋体"/>
                <w:b/>
                <w:bCs/>
              </w:rPr>
              <w:t>/</w:t>
            </w:r>
          </w:p>
        </w:tc>
      </w:tr>
      <w:tr w:rsidR="00751F96" w:rsidTr="00077F54">
        <w:tc>
          <w:tcPr>
            <w:tcW w:w="639" w:type="dxa"/>
            <w:vAlign w:val="center"/>
          </w:tcPr>
          <w:p w:rsidR="00751F96" w:rsidRDefault="00751F96" w:rsidP="00077F54">
            <w:pPr>
              <w:jc w:val="center"/>
              <w:rPr>
                <w:rFonts w:ascii="宋体"/>
                <w:b/>
                <w:bCs/>
              </w:rPr>
            </w:pPr>
            <w:r>
              <w:rPr>
                <w:rFonts w:ascii="宋体" w:hAnsi="宋体"/>
                <w:b/>
                <w:bCs/>
              </w:rPr>
              <w:t>4</w:t>
            </w:r>
          </w:p>
        </w:tc>
        <w:tc>
          <w:tcPr>
            <w:tcW w:w="1454" w:type="dxa"/>
            <w:tcBorders>
              <w:left w:val="nil"/>
            </w:tcBorders>
            <w:vAlign w:val="center"/>
          </w:tcPr>
          <w:p w:rsidR="00751F96" w:rsidRDefault="00751F96" w:rsidP="00077F54">
            <w:pPr>
              <w:jc w:val="center"/>
              <w:rPr>
                <w:rFonts w:ascii="宋体"/>
                <w:b/>
                <w:bCs/>
              </w:rPr>
            </w:pPr>
            <w:r>
              <w:rPr>
                <w:rFonts w:ascii="宋体" w:hAnsi="宋体" w:hint="eastAsia"/>
                <w:b/>
                <w:bCs/>
              </w:rPr>
              <w:t>包装要求（货物）</w:t>
            </w:r>
          </w:p>
        </w:tc>
        <w:tc>
          <w:tcPr>
            <w:tcW w:w="6436" w:type="dxa"/>
            <w:tcBorders>
              <w:left w:val="nil"/>
            </w:tcBorders>
          </w:tcPr>
          <w:p w:rsidR="00751F96" w:rsidRDefault="00751F96" w:rsidP="00077F54">
            <w:pPr>
              <w:rPr>
                <w:rFonts w:ascii="宋体"/>
                <w:b/>
                <w:bCs/>
              </w:rPr>
            </w:pPr>
            <w:r>
              <w:rPr>
                <w:rFonts w:ascii="宋体" w:hAnsi="宋体" w:hint="eastAsia"/>
              </w:rPr>
              <w:t>除合同另有规定外，成交人提供的全部货物均应按标准保护措施进行包装，涉及木质制品及木制包装材料的（含铺垫、支撑、加固设施设备等），禁止使用和调入松木及其制品。该包装应适应远距离运输、防潮、防震、防锈和防野蛮装卸，确保货物安全无损运抵现场。由于包装不善所引起的货物锈蚀、损坏和损失均由成交人承担。</w:t>
            </w:r>
          </w:p>
        </w:tc>
      </w:tr>
      <w:tr w:rsidR="00751F96" w:rsidTr="00077F54">
        <w:tc>
          <w:tcPr>
            <w:tcW w:w="639" w:type="dxa"/>
            <w:vAlign w:val="center"/>
          </w:tcPr>
          <w:p w:rsidR="00751F96" w:rsidRDefault="00751F96" w:rsidP="00077F54">
            <w:pPr>
              <w:jc w:val="center"/>
              <w:rPr>
                <w:rFonts w:ascii="宋体"/>
                <w:b/>
                <w:bCs/>
              </w:rPr>
            </w:pPr>
            <w:r>
              <w:rPr>
                <w:rFonts w:ascii="宋体" w:hAnsi="宋体"/>
                <w:b/>
                <w:bCs/>
              </w:rPr>
              <w:t>5</w:t>
            </w:r>
          </w:p>
        </w:tc>
        <w:tc>
          <w:tcPr>
            <w:tcW w:w="1454" w:type="dxa"/>
            <w:tcBorders>
              <w:left w:val="nil"/>
            </w:tcBorders>
            <w:vAlign w:val="center"/>
          </w:tcPr>
          <w:p w:rsidR="00751F96" w:rsidRDefault="00751F96" w:rsidP="00077F54">
            <w:pPr>
              <w:jc w:val="center"/>
              <w:rPr>
                <w:rFonts w:ascii="宋体"/>
                <w:b/>
                <w:bCs/>
              </w:rPr>
            </w:pPr>
            <w:r>
              <w:rPr>
                <w:rFonts w:ascii="宋体" w:hAnsi="宋体" w:hint="eastAsia"/>
                <w:b/>
                <w:bCs/>
              </w:rPr>
              <w:t>验收</w:t>
            </w:r>
          </w:p>
        </w:tc>
        <w:tc>
          <w:tcPr>
            <w:tcW w:w="6436" w:type="dxa"/>
            <w:tcBorders>
              <w:left w:val="nil"/>
            </w:tcBorders>
          </w:tcPr>
          <w:p w:rsidR="00751F96" w:rsidRDefault="00751F96" w:rsidP="00077F54">
            <w:pPr>
              <w:rPr>
                <w:rFonts w:ascii="宋体"/>
                <w:b/>
                <w:bCs/>
              </w:rPr>
            </w:pPr>
            <w:r>
              <w:rPr>
                <w:rFonts w:ascii="宋体" w:hAnsi="宋体" w:hint="eastAsia"/>
                <w:b/>
                <w:bCs/>
              </w:rPr>
              <w:t>由采购人组织验收</w:t>
            </w:r>
          </w:p>
        </w:tc>
      </w:tr>
      <w:tr w:rsidR="00751F96" w:rsidTr="00077F54">
        <w:trPr>
          <w:trHeight w:val="962"/>
        </w:trPr>
        <w:tc>
          <w:tcPr>
            <w:tcW w:w="639" w:type="dxa"/>
            <w:vAlign w:val="center"/>
          </w:tcPr>
          <w:p w:rsidR="00751F96" w:rsidRDefault="00751F96" w:rsidP="00077F54">
            <w:pPr>
              <w:jc w:val="center"/>
              <w:rPr>
                <w:rFonts w:ascii="宋体"/>
                <w:b/>
                <w:bCs/>
              </w:rPr>
            </w:pPr>
            <w:r>
              <w:rPr>
                <w:rFonts w:ascii="宋体" w:hAnsi="宋体"/>
                <w:b/>
                <w:bCs/>
              </w:rPr>
              <w:t>6</w:t>
            </w:r>
          </w:p>
        </w:tc>
        <w:tc>
          <w:tcPr>
            <w:tcW w:w="1454" w:type="dxa"/>
            <w:tcBorders>
              <w:left w:val="nil"/>
            </w:tcBorders>
            <w:vAlign w:val="center"/>
          </w:tcPr>
          <w:p w:rsidR="00751F96" w:rsidRDefault="00751F96" w:rsidP="00077F54">
            <w:pPr>
              <w:jc w:val="center"/>
              <w:rPr>
                <w:rFonts w:ascii="宋体"/>
                <w:b/>
                <w:bCs/>
              </w:rPr>
            </w:pPr>
            <w:r>
              <w:rPr>
                <w:rFonts w:ascii="宋体" w:hAnsi="宋体" w:hint="eastAsia"/>
                <w:b/>
                <w:bCs/>
              </w:rPr>
              <w:t>付款</w:t>
            </w:r>
          </w:p>
        </w:tc>
        <w:tc>
          <w:tcPr>
            <w:tcW w:w="6436" w:type="dxa"/>
            <w:tcBorders>
              <w:left w:val="nil"/>
            </w:tcBorders>
          </w:tcPr>
          <w:p w:rsidR="00751F96" w:rsidRPr="003D44E9" w:rsidRDefault="00751F96" w:rsidP="00077F54">
            <w:r w:rsidRPr="003D44E9">
              <w:rPr>
                <w:rFonts w:ascii="宋体" w:hAnsi="宋体" w:hint="eastAsia"/>
                <w:b/>
                <w:bCs/>
              </w:rPr>
              <w:t>付款人：</w:t>
            </w:r>
            <w:r w:rsidRPr="003D44E9">
              <w:rPr>
                <w:rFonts w:ascii="宋体" w:hAnsi="宋体" w:cs="宋体" w:hint="eastAsia"/>
                <w:b/>
              </w:rPr>
              <w:t>宿州市发展和改革委员会</w:t>
            </w:r>
          </w:p>
          <w:p w:rsidR="00751F96" w:rsidRPr="003D44E9" w:rsidRDefault="00751F96" w:rsidP="00077F54">
            <w:pPr>
              <w:rPr>
                <w:rFonts w:ascii="宋体"/>
                <w:b/>
                <w:bCs/>
              </w:rPr>
            </w:pPr>
            <w:r w:rsidRPr="003D44E9">
              <w:rPr>
                <w:rFonts w:ascii="宋体" w:hAnsi="宋体" w:hint="eastAsia"/>
                <w:b/>
                <w:bCs/>
              </w:rPr>
              <w:t>付款方式：合同签订后</w:t>
            </w:r>
            <w:r w:rsidRPr="003D44E9">
              <w:rPr>
                <w:rFonts w:ascii="宋体" w:hAnsi="宋体"/>
                <w:b/>
                <w:bCs/>
              </w:rPr>
              <w:t>2</w:t>
            </w:r>
            <w:r w:rsidRPr="003D44E9">
              <w:rPr>
                <w:rFonts w:ascii="宋体"/>
                <w:b/>
                <w:bCs/>
              </w:rPr>
              <w:t>0</w:t>
            </w:r>
            <w:r w:rsidRPr="003D44E9">
              <w:rPr>
                <w:rFonts w:ascii="宋体" w:hAnsi="宋体" w:hint="eastAsia"/>
                <w:b/>
                <w:bCs/>
              </w:rPr>
              <w:t>日内采购人支付合同总金额的</w:t>
            </w:r>
            <w:r w:rsidRPr="003D44E9">
              <w:rPr>
                <w:rFonts w:ascii="宋体" w:hAnsi="宋体"/>
                <w:b/>
                <w:bCs/>
              </w:rPr>
              <w:t>60%</w:t>
            </w:r>
            <w:r w:rsidRPr="003D44E9">
              <w:rPr>
                <w:rFonts w:ascii="宋体" w:hAnsi="宋体" w:hint="eastAsia"/>
                <w:b/>
                <w:bCs/>
              </w:rPr>
              <w:t>，项目成果通过专家评审后，付清全部款项。</w:t>
            </w:r>
          </w:p>
        </w:tc>
      </w:tr>
      <w:tr w:rsidR="00751F96" w:rsidTr="00077F54">
        <w:trPr>
          <w:trHeight w:val="714"/>
        </w:trPr>
        <w:tc>
          <w:tcPr>
            <w:tcW w:w="639" w:type="dxa"/>
            <w:vAlign w:val="center"/>
          </w:tcPr>
          <w:p w:rsidR="00751F96" w:rsidRDefault="00751F96" w:rsidP="00077F54">
            <w:pPr>
              <w:jc w:val="center"/>
              <w:rPr>
                <w:rFonts w:ascii="宋体"/>
                <w:b/>
                <w:bCs/>
              </w:rPr>
            </w:pPr>
            <w:r>
              <w:rPr>
                <w:rFonts w:ascii="宋体" w:hAnsi="宋体"/>
                <w:b/>
                <w:bCs/>
              </w:rPr>
              <w:t>7</w:t>
            </w:r>
          </w:p>
        </w:tc>
        <w:tc>
          <w:tcPr>
            <w:tcW w:w="1454" w:type="dxa"/>
            <w:tcBorders>
              <w:left w:val="nil"/>
            </w:tcBorders>
            <w:vAlign w:val="center"/>
          </w:tcPr>
          <w:p w:rsidR="00751F96" w:rsidRDefault="00751F96" w:rsidP="00077F54">
            <w:pPr>
              <w:jc w:val="center"/>
              <w:rPr>
                <w:rFonts w:ascii="宋体"/>
                <w:b/>
                <w:bCs/>
              </w:rPr>
            </w:pPr>
            <w:r>
              <w:rPr>
                <w:rFonts w:ascii="宋体" w:hAnsi="宋体" w:hint="eastAsia"/>
                <w:b/>
                <w:bCs/>
              </w:rPr>
              <w:t>履约保证金</w:t>
            </w:r>
          </w:p>
        </w:tc>
        <w:tc>
          <w:tcPr>
            <w:tcW w:w="6436" w:type="dxa"/>
            <w:tcBorders>
              <w:left w:val="nil"/>
            </w:tcBorders>
          </w:tcPr>
          <w:p w:rsidR="00751F96" w:rsidRPr="003D44E9" w:rsidRDefault="00751F96" w:rsidP="00077F54">
            <w:pPr>
              <w:rPr>
                <w:rFonts w:ascii="宋体"/>
                <w:b/>
                <w:bCs/>
              </w:rPr>
            </w:pPr>
            <w:r w:rsidRPr="003D44E9">
              <w:rPr>
                <w:rFonts w:ascii="宋体" w:hAnsi="宋体" w:hint="eastAsia"/>
                <w:b/>
                <w:bCs/>
              </w:rPr>
              <w:t>领取中标通知书后，签订合同前向采购人缴纳合同额的</w:t>
            </w:r>
            <w:r w:rsidRPr="003D44E9">
              <w:rPr>
                <w:rFonts w:ascii="宋体" w:hAnsi="宋体"/>
                <w:b/>
                <w:bCs/>
              </w:rPr>
              <w:t>10%</w:t>
            </w:r>
            <w:r w:rsidRPr="003D44E9">
              <w:rPr>
                <w:rFonts w:ascii="宋体" w:hAnsi="宋体" w:hint="eastAsia"/>
                <w:b/>
                <w:bCs/>
              </w:rPr>
              <w:t>作为履约担保。</w:t>
            </w:r>
          </w:p>
        </w:tc>
      </w:tr>
      <w:tr w:rsidR="00751F96" w:rsidTr="00077F54">
        <w:trPr>
          <w:trHeight w:val="6598"/>
        </w:trPr>
        <w:tc>
          <w:tcPr>
            <w:tcW w:w="639" w:type="dxa"/>
            <w:vAlign w:val="center"/>
          </w:tcPr>
          <w:p w:rsidR="00751F96" w:rsidRDefault="00751F96" w:rsidP="00077F54">
            <w:pPr>
              <w:jc w:val="center"/>
              <w:rPr>
                <w:rFonts w:ascii="宋体"/>
                <w:b/>
                <w:bCs/>
              </w:rPr>
            </w:pPr>
            <w:r>
              <w:rPr>
                <w:rFonts w:ascii="宋体" w:hAnsi="宋体"/>
                <w:b/>
                <w:bCs/>
              </w:rPr>
              <w:lastRenderedPageBreak/>
              <w:t>8</w:t>
            </w:r>
          </w:p>
        </w:tc>
        <w:tc>
          <w:tcPr>
            <w:tcW w:w="1454" w:type="dxa"/>
            <w:tcBorders>
              <w:left w:val="nil"/>
            </w:tcBorders>
            <w:vAlign w:val="center"/>
          </w:tcPr>
          <w:p w:rsidR="00751F96" w:rsidRDefault="00751F96" w:rsidP="00077F54">
            <w:pPr>
              <w:jc w:val="center"/>
              <w:rPr>
                <w:rFonts w:ascii="宋体"/>
                <w:b/>
                <w:bCs/>
              </w:rPr>
            </w:pPr>
            <w:r>
              <w:rPr>
                <w:rFonts w:ascii="宋体" w:hAnsi="宋体" w:hint="eastAsia"/>
                <w:b/>
                <w:bCs/>
              </w:rPr>
              <w:t>其他</w:t>
            </w:r>
          </w:p>
        </w:tc>
        <w:tc>
          <w:tcPr>
            <w:tcW w:w="6436" w:type="dxa"/>
            <w:tcBorders>
              <w:left w:val="nil"/>
            </w:tcBorders>
          </w:tcPr>
          <w:p w:rsidR="00751F96" w:rsidRDefault="00751F96" w:rsidP="00077F54">
            <w:pPr>
              <w:spacing w:line="480" w:lineRule="exact"/>
              <w:rPr>
                <w:rFonts w:ascii="宋体" w:cs="Arial"/>
                <w:b/>
                <w:bCs/>
              </w:rPr>
            </w:pPr>
            <w:r>
              <w:rPr>
                <w:rFonts w:ascii="宋体" w:hAnsi="宋体" w:cs="Arial" w:hint="eastAsia"/>
                <w:b/>
                <w:bCs/>
              </w:rPr>
              <w:t>以下标“√”的为本项目要求，其余未标“√”的不属于本项目要求：</w:t>
            </w:r>
          </w:p>
          <w:p w:rsidR="00751F96" w:rsidRDefault="00751F96" w:rsidP="00077F54">
            <w:pPr>
              <w:spacing w:line="360" w:lineRule="auto"/>
              <w:ind w:left="1"/>
              <w:rPr>
                <w:rFonts w:ascii="宋体" w:cs="Arial"/>
                <w:b/>
                <w:bCs/>
              </w:rPr>
            </w:pPr>
            <w:r>
              <w:rPr>
                <w:rFonts w:ascii="宋体" w:hAnsi="宋体" w:cs="Arial" w:hint="eastAsia"/>
                <w:b/>
                <w:bCs/>
              </w:rPr>
              <w:t>□如果磋商响应文件中附有外文资料，必须附上这些外文资料的中文翻译件。对于关键性的证明文件，供应商应在磋商响应文件中提供与外文内容相同、且由同一人签署（或盖章）的中文件，或经国内公证部门公证的中文翻译件。</w:t>
            </w:r>
          </w:p>
          <w:p w:rsidR="00751F96" w:rsidRDefault="00751F96" w:rsidP="00077F54">
            <w:pPr>
              <w:spacing w:line="480" w:lineRule="exact"/>
              <w:rPr>
                <w:rFonts w:ascii="宋体" w:cs="Arial"/>
                <w:b/>
                <w:bCs/>
              </w:rPr>
            </w:pPr>
            <w:r>
              <w:rPr>
                <w:rFonts w:ascii="宋体" w:hAnsi="宋体" w:cs="Arial" w:hint="eastAsia"/>
                <w:b/>
                <w:bCs/>
              </w:rPr>
              <w:t>□供应商所提供的货物服务，如果是国家实行许可证、计量证、压力容器证等生产、经营准入制度的，供应商应在磋商响应文件中附上有关证书。</w:t>
            </w:r>
          </w:p>
          <w:p w:rsidR="00751F96" w:rsidRDefault="00751F96" w:rsidP="00077F54">
            <w:pPr>
              <w:spacing w:line="360" w:lineRule="auto"/>
              <w:ind w:left="1"/>
              <w:rPr>
                <w:rFonts w:ascii="宋体" w:cs="Arial"/>
                <w:b/>
                <w:bCs/>
              </w:rPr>
            </w:pPr>
            <w:r>
              <w:rPr>
                <w:rFonts w:ascii="宋体" w:hAnsi="Wingdings 2" w:cs="Arial" w:hint="eastAsia"/>
                <w:b/>
                <w:bCs/>
                <w:szCs w:val="20"/>
              </w:rPr>
              <w:sym w:font="Wingdings 2" w:char="F0A3"/>
            </w:r>
            <w:r>
              <w:rPr>
                <w:rFonts w:ascii="宋体" w:hAnsi="宋体" w:cs="Arial" w:hint="eastAsia"/>
                <w:b/>
                <w:bCs/>
              </w:rPr>
              <w:t>如有进口产品，应在磋商响应文件中提供通过中国海关报关验放进入中国境内的相关材料。</w:t>
            </w:r>
          </w:p>
          <w:p w:rsidR="00751F96" w:rsidRDefault="00751F96" w:rsidP="00077F54">
            <w:pPr>
              <w:spacing w:line="360" w:lineRule="auto"/>
              <w:ind w:left="1"/>
              <w:rPr>
                <w:rFonts w:ascii="宋体"/>
                <w:b/>
                <w:bCs/>
              </w:rPr>
            </w:pPr>
            <w:r>
              <w:rPr>
                <w:rFonts w:ascii="宋体" w:hAnsi="宋体" w:cs="Arial" w:hint="eastAsia"/>
                <w:b/>
                <w:bCs/>
              </w:rPr>
              <w:t>□若所提供的产品为国家鼓励、扶持的或节能、环保产品，应在磋商响应文件中附有国家确定的认证机构出具的、处于有效期之内的节能产品、环境标志产品认证证书。参照财政部、发展改革委、生态环境部发布的节能、环保产品政府采购品目清单，对获得认证证书的品目清单内产品实施政府优先采购或强制采购。。</w:t>
            </w: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1EA" w:rsidRDefault="002121EA" w:rsidP="00751F96">
      <w:pPr>
        <w:spacing w:after="0"/>
      </w:pPr>
      <w:r>
        <w:separator/>
      </w:r>
    </w:p>
  </w:endnote>
  <w:endnote w:type="continuationSeparator" w:id="0">
    <w:p w:rsidR="002121EA" w:rsidRDefault="002121EA" w:rsidP="00751F9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Wingdings 2">
    <w:altName w:val="Webdings"/>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1EA" w:rsidRDefault="002121EA" w:rsidP="00751F96">
      <w:pPr>
        <w:spacing w:after="0"/>
      </w:pPr>
      <w:r>
        <w:separator/>
      </w:r>
    </w:p>
  </w:footnote>
  <w:footnote w:type="continuationSeparator" w:id="0">
    <w:p w:rsidR="002121EA" w:rsidRDefault="002121EA" w:rsidP="00751F9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2121EA"/>
    <w:rsid w:val="00323B43"/>
    <w:rsid w:val="003D37D8"/>
    <w:rsid w:val="00426133"/>
    <w:rsid w:val="004358AB"/>
    <w:rsid w:val="00616E98"/>
    <w:rsid w:val="00751F96"/>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next w:val="a"/>
    <w:link w:val="2Char"/>
    <w:uiPriority w:val="9"/>
    <w:semiHidden/>
    <w:unhideWhenUsed/>
    <w:qFormat/>
    <w:rsid w:val="00751F9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751F9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1F9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751F96"/>
    <w:rPr>
      <w:rFonts w:ascii="Tahoma" w:hAnsi="Tahoma"/>
      <w:sz w:val="18"/>
      <w:szCs w:val="18"/>
    </w:rPr>
  </w:style>
  <w:style w:type="paragraph" w:styleId="a4">
    <w:name w:val="footer"/>
    <w:basedOn w:val="a"/>
    <w:link w:val="Char0"/>
    <w:uiPriority w:val="99"/>
    <w:semiHidden/>
    <w:unhideWhenUsed/>
    <w:rsid w:val="00751F96"/>
    <w:pPr>
      <w:tabs>
        <w:tab w:val="center" w:pos="4153"/>
        <w:tab w:val="right" w:pos="8306"/>
      </w:tabs>
    </w:pPr>
    <w:rPr>
      <w:sz w:val="18"/>
      <w:szCs w:val="18"/>
    </w:rPr>
  </w:style>
  <w:style w:type="character" w:customStyle="1" w:styleId="Char0">
    <w:name w:val="页脚 Char"/>
    <w:basedOn w:val="a0"/>
    <w:link w:val="a4"/>
    <w:uiPriority w:val="99"/>
    <w:semiHidden/>
    <w:rsid w:val="00751F96"/>
    <w:rPr>
      <w:rFonts w:ascii="Tahoma" w:hAnsi="Tahoma"/>
      <w:sz w:val="18"/>
      <w:szCs w:val="18"/>
    </w:rPr>
  </w:style>
  <w:style w:type="paragraph" w:customStyle="1" w:styleId="H1">
    <w:name w:val="H1"/>
    <w:basedOn w:val="2"/>
    <w:next w:val="a"/>
    <w:uiPriority w:val="99"/>
    <w:rsid w:val="00751F96"/>
    <w:pPr>
      <w:widowControl w:val="0"/>
      <w:adjustRightInd/>
      <w:snapToGrid/>
      <w:spacing w:before="0" w:after="0" w:line="600" w:lineRule="exact"/>
      <w:jc w:val="center"/>
    </w:pPr>
    <w:rPr>
      <w:rFonts w:ascii="宋体" w:eastAsia="黑体" w:hAnsi="宋体" w:cs="宋体"/>
      <w:bCs w:val="0"/>
      <w:color w:val="000000"/>
    </w:rPr>
  </w:style>
  <w:style w:type="paragraph" w:customStyle="1" w:styleId="H2">
    <w:name w:val="H2"/>
    <w:basedOn w:val="3"/>
    <w:next w:val="a"/>
    <w:uiPriority w:val="99"/>
    <w:rsid w:val="00751F96"/>
    <w:pPr>
      <w:keepNext w:val="0"/>
      <w:keepLines w:val="0"/>
      <w:widowControl w:val="0"/>
      <w:adjustRightInd/>
      <w:snapToGrid/>
      <w:spacing w:before="0" w:after="0" w:line="360" w:lineRule="auto"/>
      <w:jc w:val="center"/>
    </w:pPr>
    <w:rPr>
      <w:rFonts w:ascii="宋体" w:eastAsia="宋体" w:hAnsi="宋体" w:cs="Arial"/>
      <w:bCs w:val="0"/>
      <w:color w:val="000000"/>
      <w:sz w:val="21"/>
      <w:szCs w:val="21"/>
    </w:rPr>
  </w:style>
  <w:style w:type="character" w:customStyle="1" w:styleId="2Char">
    <w:name w:val="标题 2 Char"/>
    <w:basedOn w:val="a0"/>
    <w:link w:val="2"/>
    <w:uiPriority w:val="9"/>
    <w:semiHidden/>
    <w:rsid w:val="00751F96"/>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751F96"/>
    <w:rPr>
      <w:rFonts w:ascii="Tahoma" w:hAnsi="Tahoma"/>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NTKO</cp:lastModifiedBy>
  <cp:revision>2</cp:revision>
  <dcterms:created xsi:type="dcterms:W3CDTF">2008-09-11T17:20:00Z</dcterms:created>
  <dcterms:modified xsi:type="dcterms:W3CDTF">2020-06-04T09:07:00Z</dcterms:modified>
</cp:coreProperties>
</file>